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FC763" w14:textId="31ECF513" w:rsidR="00E76F19" w:rsidRPr="00F37D45" w:rsidRDefault="00E76F19" w:rsidP="004B7B66">
      <w:pPr>
        <w:widowControl w:val="0"/>
        <w:overflowPunct w:val="0"/>
        <w:autoSpaceDE w:val="0"/>
        <w:autoSpaceDN w:val="0"/>
        <w:adjustRightInd w:val="0"/>
        <w:spacing w:after="0" w:line="240" w:lineRule="auto"/>
        <w:ind w:right="-4"/>
        <w:jc w:val="center"/>
        <w:rPr>
          <w:rFonts w:ascii="Times New Roman" w:hAnsi="Times New Roman" w:cs="Times New Roman"/>
          <w:sz w:val="16"/>
          <w:szCs w:val="20"/>
        </w:rPr>
      </w:pPr>
      <w:r w:rsidRPr="00F37D45">
        <w:rPr>
          <w:rFonts w:ascii="Times New Roman" w:hAnsi="Times New Roman" w:cs="Times New Roman"/>
          <w:color w:val="00007C"/>
          <w:sz w:val="16"/>
          <w:szCs w:val="20"/>
        </w:rPr>
        <w:t>International Journal of Innovative Research</w:t>
      </w:r>
      <w:r w:rsidR="00E02EBD" w:rsidRPr="00F37D45">
        <w:rPr>
          <w:rFonts w:ascii="Times New Roman" w:hAnsi="Times New Roman" w:cs="Times New Roman"/>
          <w:color w:val="00007C"/>
          <w:sz w:val="16"/>
          <w:szCs w:val="20"/>
        </w:rPr>
        <w:t xml:space="preserve"> and Scientific Studies,</w:t>
      </w:r>
      <w:r w:rsidR="00BB7228" w:rsidRPr="00F37D45">
        <w:rPr>
          <w:rFonts w:ascii="Times New Roman" w:hAnsi="Times New Roman" w:cs="Times New Roman"/>
          <w:color w:val="00007C"/>
          <w:sz w:val="16"/>
          <w:szCs w:val="20"/>
        </w:rPr>
        <w:t xml:space="preserve"> </w:t>
      </w:r>
      <w:r w:rsidR="00776F87">
        <w:rPr>
          <w:rFonts w:ascii="Times New Roman" w:hAnsi="Times New Roman" w:cs="Times New Roman"/>
          <w:color w:val="00007C"/>
          <w:sz w:val="16"/>
          <w:szCs w:val="20"/>
        </w:rPr>
        <w:t>5</w:t>
      </w:r>
      <w:r w:rsidR="00720444" w:rsidRPr="00720444">
        <w:rPr>
          <w:rFonts w:ascii="Times New Roman" w:hAnsi="Times New Roman" w:cs="Times New Roman"/>
          <w:color w:val="00007C"/>
          <w:sz w:val="16"/>
          <w:szCs w:val="20"/>
        </w:rPr>
        <w:t>(</w:t>
      </w:r>
      <w:r w:rsidR="00776F87">
        <w:rPr>
          <w:rFonts w:ascii="Times New Roman" w:hAnsi="Times New Roman" w:cs="Times New Roman"/>
          <w:color w:val="00007C"/>
          <w:sz w:val="16"/>
          <w:szCs w:val="20"/>
        </w:rPr>
        <w:t>4</w:t>
      </w:r>
      <w:r w:rsidR="00720444" w:rsidRPr="00720444">
        <w:rPr>
          <w:rFonts w:ascii="Times New Roman" w:hAnsi="Times New Roman" w:cs="Times New Roman"/>
          <w:color w:val="00007C"/>
          <w:sz w:val="16"/>
          <w:szCs w:val="20"/>
        </w:rPr>
        <w:t xml:space="preserve">) </w:t>
      </w:r>
      <w:r w:rsidR="00870CD5" w:rsidRPr="00870CD5">
        <w:rPr>
          <w:rFonts w:ascii="Times New Roman" w:hAnsi="Times New Roman" w:cs="Times New Roman"/>
          <w:color w:val="00007C"/>
          <w:sz w:val="16"/>
          <w:szCs w:val="20"/>
        </w:rPr>
        <w:t>2022</w:t>
      </w:r>
      <w:r w:rsidR="00720444" w:rsidRPr="00720444">
        <w:rPr>
          <w:rFonts w:ascii="Times New Roman" w:hAnsi="Times New Roman" w:cs="Times New Roman"/>
          <w:color w:val="00007C"/>
          <w:sz w:val="16"/>
          <w:szCs w:val="20"/>
        </w:rPr>
        <w:t xml:space="preserve">, pages: </w:t>
      </w:r>
      <w:r w:rsidR="00776F87">
        <w:rPr>
          <w:rFonts w:ascii="Times New Roman" w:hAnsi="Times New Roman" w:cs="Times New Roman"/>
          <w:color w:val="00007C"/>
          <w:sz w:val="16"/>
          <w:szCs w:val="20"/>
        </w:rPr>
        <w:t>343-353</w:t>
      </w:r>
      <w:hyperlink r:id="rId8" w:history="1"/>
    </w:p>
    <w:tbl>
      <w:tblPr>
        <w:tblW w:w="0" w:type="auto"/>
        <w:jc w:val="center"/>
        <w:tblBorders>
          <w:top w:val="single" w:sz="12" w:space="0" w:color="auto"/>
          <w:bottom w:val="single" w:sz="12" w:space="0" w:color="auto"/>
          <w:insideH w:val="single" w:sz="4" w:space="0" w:color="auto"/>
        </w:tblBorders>
        <w:tblLook w:val="04A0" w:firstRow="1" w:lastRow="0" w:firstColumn="1" w:lastColumn="0" w:noHBand="0" w:noVBand="1"/>
      </w:tblPr>
      <w:tblGrid>
        <w:gridCol w:w="2605"/>
        <w:gridCol w:w="4500"/>
        <w:gridCol w:w="2245"/>
      </w:tblGrid>
      <w:tr w:rsidR="00CA6605" w14:paraId="0EB6DB0C" w14:textId="77777777" w:rsidTr="000854E4">
        <w:trPr>
          <w:jc w:val="center"/>
        </w:trPr>
        <w:tc>
          <w:tcPr>
            <w:tcW w:w="2605" w:type="dxa"/>
          </w:tcPr>
          <w:p w14:paraId="3E154D93" w14:textId="77777777" w:rsidR="00CA6605" w:rsidRDefault="00886B47" w:rsidP="004B7B66">
            <w:pPr>
              <w:widowControl w:val="0"/>
              <w:autoSpaceDE w:val="0"/>
              <w:autoSpaceDN w:val="0"/>
              <w:adjustRightInd w:val="0"/>
              <w:spacing w:after="0" w:line="240" w:lineRule="auto"/>
              <w:jc w:val="center"/>
              <w:rPr>
                <w:rFonts w:ascii="Times New Roman" w:hAnsi="Times New Roman" w:cs="Times New Roman"/>
                <w:sz w:val="24"/>
                <w:szCs w:val="24"/>
              </w:rPr>
            </w:pPr>
            <w:r>
              <w:rPr>
                <w:noProof/>
              </w:rPr>
              <w:object w:dxaOrig="2010" w:dyaOrig="1755" w14:anchorId="31BFD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9.75pt;height:87.75pt;mso-width-percent:0;mso-height-percent:0;mso-width-percent:0;mso-height-percent:0" o:ole="">
                  <v:imagedata r:id="rId9" o:title=""/>
                </v:shape>
                <o:OLEObject Type="Embed" ProgID="PBrush" ShapeID="_x0000_i1025" DrawAspect="Content" ObjectID="_1731741829" r:id="rId10"/>
              </w:object>
            </w:r>
          </w:p>
        </w:tc>
        <w:tc>
          <w:tcPr>
            <w:tcW w:w="4500" w:type="dxa"/>
            <w:shd w:val="clear" w:color="auto" w:fill="F2F2F2" w:themeFill="background1" w:themeFillShade="F2"/>
          </w:tcPr>
          <w:p w14:paraId="524DD106" w14:textId="77777777" w:rsidR="00CA6605" w:rsidRDefault="00CA6605" w:rsidP="004B7B66">
            <w:pPr>
              <w:widowControl w:val="0"/>
              <w:overflowPunct w:val="0"/>
              <w:autoSpaceDE w:val="0"/>
              <w:autoSpaceDN w:val="0"/>
              <w:adjustRightInd w:val="0"/>
              <w:spacing w:after="0" w:line="240" w:lineRule="auto"/>
              <w:ind w:left="5" w:right="60"/>
              <w:jc w:val="center"/>
              <w:rPr>
                <w:rFonts w:ascii="Times New Roman" w:hAnsi="Times New Roman" w:cs="Times New Roman"/>
                <w:b/>
                <w:sz w:val="20"/>
                <w:szCs w:val="20"/>
              </w:rPr>
            </w:pPr>
          </w:p>
          <w:p w14:paraId="0E58BE1B" w14:textId="77777777" w:rsidR="00CA6605" w:rsidRPr="000541D3" w:rsidRDefault="00CA6605" w:rsidP="004B7B66">
            <w:pPr>
              <w:widowControl w:val="0"/>
              <w:overflowPunct w:val="0"/>
              <w:autoSpaceDE w:val="0"/>
              <w:autoSpaceDN w:val="0"/>
              <w:adjustRightInd w:val="0"/>
              <w:spacing w:after="0" w:line="240" w:lineRule="auto"/>
              <w:ind w:left="5" w:right="60"/>
              <w:jc w:val="center"/>
              <w:rPr>
                <w:rFonts w:ascii="Times New Roman" w:hAnsi="Times New Roman" w:cs="Times New Roman"/>
                <w:sz w:val="20"/>
                <w:szCs w:val="20"/>
              </w:rPr>
            </w:pPr>
            <w:r w:rsidRPr="00C640FD">
              <w:rPr>
                <w:rFonts w:ascii="Times New Roman" w:hAnsi="Times New Roman" w:cs="Times New Roman"/>
                <w:b/>
                <w:sz w:val="20"/>
                <w:szCs w:val="20"/>
              </w:rPr>
              <w:t xml:space="preserve">ISSN: </w:t>
            </w:r>
            <w:r w:rsidRPr="000541D3">
              <w:rPr>
                <w:rFonts w:ascii="Times New Roman" w:hAnsi="Times New Roman" w:cs="Times New Roman"/>
                <w:sz w:val="20"/>
                <w:szCs w:val="20"/>
              </w:rPr>
              <w:t>2617-6548</w:t>
            </w:r>
          </w:p>
          <w:p w14:paraId="7D81CD00" w14:textId="77777777" w:rsidR="00CA6605" w:rsidRDefault="00CA6605" w:rsidP="004B7B66">
            <w:pPr>
              <w:widowControl w:val="0"/>
              <w:overflowPunct w:val="0"/>
              <w:autoSpaceDE w:val="0"/>
              <w:autoSpaceDN w:val="0"/>
              <w:adjustRightInd w:val="0"/>
              <w:spacing w:after="0" w:line="240" w:lineRule="auto"/>
              <w:ind w:left="5" w:right="60"/>
              <w:jc w:val="center"/>
            </w:pPr>
          </w:p>
          <w:p w14:paraId="77A265DE" w14:textId="77777777" w:rsidR="00CA6605" w:rsidRDefault="00CA6605" w:rsidP="004B7B66">
            <w:pPr>
              <w:widowControl w:val="0"/>
              <w:overflowPunct w:val="0"/>
              <w:autoSpaceDE w:val="0"/>
              <w:autoSpaceDN w:val="0"/>
              <w:adjustRightInd w:val="0"/>
              <w:spacing w:after="0" w:line="240" w:lineRule="auto"/>
              <w:ind w:left="5" w:right="60"/>
              <w:jc w:val="center"/>
            </w:pPr>
          </w:p>
          <w:p w14:paraId="2C2AF301" w14:textId="77777777" w:rsidR="00CA6605" w:rsidRDefault="00CA6605" w:rsidP="004B7B66">
            <w:pPr>
              <w:widowControl w:val="0"/>
              <w:overflowPunct w:val="0"/>
              <w:autoSpaceDE w:val="0"/>
              <w:autoSpaceDN w:val="0"/>
              <w:adjustRightInd w:val="0"/>
              <w:spacing w:after="0" w:line="240" w:lineRule="auto"/>
              <w:ind w:left="5" w:right="60"/>
              <w:jc w:val="center"/>
              <w:rPr>
                <w:rFonts w:ascii="Times New Roman" w:hAnsi="Times New Roman" w:cs="Times New Roman"/>
                <w:sz w:val="20"/>
                <w:szCs w:val="20"/>
              </w:rPr>
            </w:pPr>
            <w:r>
              <w:rPr>
                <w:rFonts w:ascii="Times New Roman" w:hAnsi="Times New Roman" w:cs="Times New Roman"/>
                <w:sz w:val="20"/>
                <w:szCs w:val="20"/>
              </w:rPr>
              <w:t xml:space="preserve">URL: </w:t>
            </w:r>
            <w:hyperlink r:id="rId11" w:history="1">
              <w:r w:rsidRPr="00AB761E">
                <w:rPr>
                  <w:rStyle w:val="Hyperlink"/>
                  <w:rFonts w:ascii="Times New Roman" w:hAnsi="Times New Roman" w:cs="Times New Roman"/>
                  <w:sz w:val="20"/>
                  <w:szCs w:val="20"/>
                </w:rPr>
                <w:t>www.ijirss.com</w:t>
              </w:r>
            </w:hyperlink>
          </w:p>
          <w:p w14:paraId="06B942DC" w14:textId="77777777" w:rsidR="00CA6605" w:rsidRDefault="00CA6605" w:rsidP="004B7B66">
            <w:pPr>
              <w:widowControl w:val="0"/>
              <w:autoSpaceDE w:val="0"/>
              <w:autoSpaceDN w:val="0"/>
              <w:adjustRightInd w:val="0"/>
              <w:spacing w:after="0" w:line="240" w:lineRule="auto"/>
              <w:rPr>
                <w:rFonts w:ascii="Times New Roman" w:hAnsi="Times New Roman" w:cs="Times New Roman"/>
                <w:sz w:val="24"/>
                <w:szCs w:val="24"/>
              </w:rPr>
            </w:pPr>
          </w:p>
        </w:tc>
        <w:tc>
          <w:tcPr>
            <w:tcW w:w="2245" w:type="dxa"/>
          </w:tcPr>
          <w:p w14:paraId="0C46AF11" w14:textId="77777777" w:rsidR="00CA6605" w:rsidRDefault="00886B47" w:rsidP="004B7B66">
            <w:pPr>
              <w:widowControl w:val="0"/>
              <w:autoSpaceDE w:val="0"/>
              <w:autoSpaceDN w:val="0"/>
              <w:adjustRightInd w:val="0"/>
              <w:spacing w:after="0" w:line="240" w:lineRule="auto"/>
              <w:jc w:val="center"/>
              <w:rPr>
                <w:rFonts w:ascii="Times New Roman" w:hAnsi="Times New Roman" w:cs="Times New Roman"/>
                <w:sz w:val="24"/>
                <w:szCs w:val="24"/>
              </w:rPr>
            </w:pPr>
            <w:r>
              <w:rPr>
                <w:noProof/>
              </w:rPr>
              <w:object w:dxaOrig="3165" w:dyaOrig="4455" w14:anchorId="7C2E3AEB">
                <v:shape id="_x0000_i1026" type="#_x0000_t75" alt="" style="width:61.5pt;height:84.75pt;mso-width-percent:0;mso-height-percent:0;mso-width-percent:0;mso-height-percent:0" o:ole="">
                  <v:imagedata r:id="rId12" o:title=""/>
                </v:shape>
                <o:OLEObject Type="Embed" ProgID="PBrush" ShapeID="_x0000_i1026" DrawAspect="Content" ObjectID="_1731741830" r:id="rId13"/>
              </w:object>
            </w:r>
          </w:p>
        </w:tc>
      </w:tr>
    </w:tbl>
    <w:p w14:paraId="17FE13DC" w14:textId="77777777" w:rsidR="00E76F19" w:rsidRPr="00F37D45" w:rsidRDefault="00E76F19" w:rsidP="004B7B66">
      <w:pPr>
        <w:widowControl w:val="0"/>
        <w:autoSpaceDE w:val="0"/>
        <w:autoSpaceDN w:val="0"/>
        <w:adjustRightInd w:val="0"/>
        <w:spacing w:after="0" w:line="240" w:lineRule="auto"/>
        <w:ind w:left="5"/>
        <w:rPr>
          <w:rFonts w:ascii="Times New Roman" w:hAnsi="Times New Roman" w:cs="Times New Roman"/>
          <w:sz w:val="24"/>
          <w:szCs w:val="24"/>
        </w:rPr>
      </w:pPr>
    </w:p>
    <w:p w14:paraId="094C90C1" w14:textId="77777777" w:rsidR="00E76F19" w:rsidRPr="00F37D45" w:rsidRDefault="00E76F19" w:rsidP="004B7B66">
      <w:pPr>
        <w:widowControl w:val="0"/>
        <w:autoSpaceDE w:val="0"/>
        <w:autoSpaceDN w:val="0"/>
        <w:adjustRightInd w:val="0"/>
        <w:spacing w:after="0" w:line="240" w:lineRule="auto"/>
        <w:ind w:left="5"/>
        <w:rPr>
          <w:rFonts w:ascii="Times New Roman" w:hAnsi="Times New Roman" w:cs="Times New Roman"/>
          <w:sz w:val="24"/>
          <w:szCs w:val="24"/>
        </w:rPr>
      </w:pPr>
    </w:p>
    <w:p w14:paraId="5959E792" w14:textId="3982C5F5" w:rsidR="005D3FF8" w:rsidRDefault="00F50142" w:rsidP="004B7B66">
      <w:pPr>
        <w:spacing w:after="0" w:line="240" w:lineRule="auto"/>
        <w:jc w:val="center"/>
        <w:rPr>
          <w:rFonts w:ascii="Times New Roman" w:hAnsi="Times New Roman" w:cs="Times New Roman"/>
          <w:b/>
          <w:bCs/>
          <w:sz w:val="24"/>
          <w:szCs w:val="28"/>
        </w:rPr>
      </w:pPr>
      <w:r w:rsidRPr="00F50142">
        <w:rPr>
          <w:rFonts w:ascii="Times New Roman" w:hAnsi="Times New Roman" w:cs="Times New Roman"/>
          <w:b/>
          <w:bCs/>
          <w:sz w:val="24"/>
          <w:szCs w:val="28"/>
        </w:rPr>
        <w:t>The Short-Run and Long-Run Effects of Central Bank Rate on Exchange Rate Volatility in Indonesia</w:t>
      </w:r>
    </w:p>
    <w:p w14:paraId="68F11E52" w14:textId="77777777" w:rsidR="004B7B66" w:rsidRPr="00F37D45" w:rsidRDefault="004B7B66" w:rsidP="004B7B66">
      <w:pPr>
        <w:spacing w:after="0" w:line="240" w:lineRule="auto"/>
        <w:jc w:val="center"/>
        <w:rPr>
          <w:rFonts w:ascii="Times New Roman" w:hAnsi="Times New Roman" w:cs="Times New Roman"/>
          <w:b/>
          <w:bCs/>
          <w:sz w:val="24"/>
          <w:szCs w:val="28"/>
        </w:rPr>
      </w:pPr>
    </w:p>
    <w:p w14:paraId="6915B35D" w14:textId="5F5DF328" w:rsidR="006C0CA2" w:rsidRPr="00F37D45" w:rsidRDefault="001E7704" w:rsidP="004B7B66">
      <w:pPr>
        <w:spacing w:after="0" w:line="240" w:lineRule="auto"/>
        <w:jc w:val="center"/>
        <w:rPr>
          <w:rFonts w:ascii="Times New Roman" w:eastAsia="Times New Roman" w:hAnsi="Times New Roman" w:cs="Times New Roman"/>
          <w:sz w:val="20"/>
          <w:vertAlign w:val="superscript"/>
        </w:rPr>
      </w:pPr>
      <w:hyperlink r:id="rId14" w:history="1">
        <w:r>
          <w:rPr>
            <w:rFonts w:ascii="Bell MT" w:hAnsi="Bell MT"/>
            <w:i/>
            <w:noProof/>
          </w:rPr>
          <w:pict w14:anchorId="04976B51">
            <v:shape id="Picture 3" o:spid="_x0000_i1027" type="#_x0000_t75" href="https://orcid.org/orcid-search/quick-search?searchQuery=AJAYI%20Boboye%20L." style="width:12pt;height:12pt;visibility:visible;mso-wrap-style:square" o:button="t">
              <v:fill o:detectmouseclick="t"/>
              <v:imagedata r:id="rId15" o:title=""/>
            </v:shape>
          </w:pict>
        </w:r>
      </w:hyperlink>
      <w:r w:rsidR="00C52623">
        <w:t xml:space="preserve"> </w:t>
      </w:r>
      <w:r w:rsidR="00F50142" w:rsidRPr="00F50142">
        <w:rPr>
          <w:rFonts w:ascii="Times New Roman" w:eastAsia="Times New Roman" w:hAnsi="Times New Roman" w:cs="Times New Roman"/>
          <w:sz w:val="20"/>
        </w:rPr>
        <w:t>Indra Suhendra</w:t>
      </w:r>
      <w:r w:rsidR="00F50142" w:rsidRPr="00F50142">
        <w:rPr>
          <w:rFonts w:ascii="Times New Roman" w:eastAsia="Times New Roman" w:hAnsi="Times New Roman" w:cs="Times New Roman"/>
          <w:sz w:val="20"/>
          <w:vertAlign w:val="superscript"/>
        </w:rPr>
        <w:t>1</w:t>
      </w:r>
      <w:r w:rsidR="00F50142" w:rsidRPr="00F50142">
        <w:rPr>
          <w:rFonts w:ascii="Times New Roman" w:eastAsia="Times New Roman" w:hAnsi="Times New Roman" w:cs="Times New Roman"/>
          <w:sz w:val="20"/>
        </w:rPr>
        <w:t xml:space="preserve">, </w:t>
      </w:r>
      <w:r w:rsidR="00C52623">
        <w:rPr>
          <w:rFonts w:ascii="Bell MT" w:hAnsi="Bell MT"/>
          <w:i/>
          <w:noProof/>
        </w:rPr>
        <w:drawing>
          <wp:inline distT="0" distB="0" distL="0" distR="0" wp14:anchorId="7676BC3E" wp14:editId="05926F17">
            <wp:extent cx="146050" cy="146050"/>
            <wp:effectExtent l="0" t="0" r="6350" b="6350"/>
            <wp:docPr id="3" name="Picture 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C52623">
        <w:rPr>
          <w:rFonts w:ascii="Times New Roman" w:eastAsia="Times New Roman" w:hAnsi="Times New Roman" w:cs="Times New Roman"/>
          <w:sz w:val="20"/>
        </w:rPr>
        <w:t xml:space="preserve"> </w:t>
      </w:r>
      <w:r w:rsidR="00F50142" w:rsidRPr="00F50142">
        <w:rPr>
          <w:rFonts w:ascii="Times New Roman" w:eastAsia="Times New Roman" w:hAnsi="Times New Roman" w:cs="Times New Roman"/>
          <w:sz w:val="20"/>
        </w:rPr>
        <w:t xml:space="preserve">Cep </w:t>
      </w:r>
      <w:proofErr w:type="spellStart"/>
      <w:r w:rsidR="00F50142" w:rsidRPr="00F50142">
        <w:rPr>
          <w:rFonts w:ascii="Times New Roman" w:eastAsia="Times New Roman" w:hAnsi="Times New Roman" w:cs="Times New Roman"/>
          <w:sz w:val="20"/>
        </w:rPr>
        <w:t>Jandi</w:t>
      </w:r>
      <w:proofErr w:type="spellEnd"/>
      <w:r w:rsidR="00F50142" w:rsidRPr="00F50142">
        <w:rPr>
          <w:rFonts w:ascii="Times New Roman" w:eastAsia="Times New Roman" w:hAnsi="Times New Roman" w:cs="Times New Roman"/>
          <w:sz w:val="20"/>
        </w:rPr>
        <w:t xml:space="preserve"> Anwar</w:t>
      </w:r>
      <w:r w:rsidR="00F50142" w:rsidRPr="00F50142">
        <w:rPr>
          <w:rFonts w:ascii="Times New Roman" w:eastAsia="Times New Roman" w:hAnsi="Times New Roman" w:cs="Times New Roman"/>
          <w:sz w:val="20"/>
          <w:vertAlign w:val="superscript"/>
        </w:rPr>
        <w:t>2</w:t>
      </w:r>
      <w:r w:rsidR="006C3FFD">
        <w:rPr>
          <w:rFonts w:ascii="Times New Roman" w:eastAsia="Times New Roman" w:hAnsi="Times New Roman" w:cs="Times New Roman"/>
          <w:sz w:val="20"/>
          <w:vertAlign w:val="superscript"/>
        </w:rPr>
        <w:t>*</w:t>
      </w:r>
      <w:r w:rsidR="00F50142" w:rsidRPr="00F50142">
        <w:rPr>
          <w:rFonts w:ascii="Times New Roman" w:eastAsia="Times New Roman" w:hAnsi="Times New Roman" w:cs="Times New Roman"/>
          <w:sz w:val="20"/>
        </w:rPr>
        <w:t xml:space="preserve">, </w:t>
      </w:r>
      <w:r w:rsidR="00C52623">
        <w:rPr>
          <w:rFonts w:ascii="Bell MT" w:hAnsi="Bell MT"/>
          <w:i/>
          <w:noProof/>
        </w:rPr>
        <w:drawing>
          <wp:inline distT="0" distB="0" distL="0" distR="0" wp14:anchorId="4FB6FA6D" wp14:editId="2A8566C5">
            <wp:extent cx="146050" cy="146050"/>
            <wp:effectExtent l="0" t="0" r="6350" b="6350"/>
            <wp:docPr id="1" name="Picture 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8"/>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C52623">
        <w:rPr>
          <w:rFonts w:ascii="Times New Roman" w:eastAsia="Times New Roman" w:hAnsi="Times New Roman" w:cs="Times New Roman"/>
          <w:sz w:val="20"/>
        </w:rPr>
        <w:t xml:space="preserve"> </w:t>
      </w:r>
      <w:proofErr w:type="spellStart"/>
      <w:r w:rsidR="00F50142" w:rsidRPr="00F50142">
        <w:rPr>
          <w:rFonts w:ascii="Times New Roman" w:eastAsia="Times New Roman" w:hAnsi="Times New Roman" w:cs="Times New Roman"/>
          <w:sz w:val="20"/>
        </w:rPr>
        <w:t>Navik</w:t>
      </w:r>
      <w:proofErr w:type="spellEnd"/>
      <w:r w:rsidR="00F50142" w:rsidRPr="00F50142">
        <w:rPr>
          <w:rFonts w:ascii="Times New Roman" w:eastAsia="Times New Roman" w:hAnsi="Times New Roman" w:cs="Times New Roman"/>
          <w:sz w:val="20"/>
        </w:rPr>
        <w:t xml:space="preserve"> Istikomah</w:t>
      </w:r>
      <w:r w:rsidR="00F50142" w:rsidRPr="00F50142">
        <w:rPr>
          <w:rFonts w:ascii="Times New Roman" w:eastAsia="Times New Roman" w:hAnsi="Times New Roman" w:cs="Times New Roman"/>
          <w:sz w:val="20"/>
          <w:vertAlign w:val="superscript"/>
        </w:rPr>
        <w:t>3</w:t>
      </w:r>
      <w:r w:rsidR="00F50142" w:rsidRPr="00F50142">
        <w:rPr>
          <w:rFonts w:ascii="Times New Roman" w:eastAsia="Times New Roman" w:hAnsi="Times New Roman" w:cs="Times New Roman"/>
          <w:sz w:val="20"/>
        </w:rPr>
        <w:t xml:space="preserve">, </w:t>
      </w:r>
      <w:r w:rsidR="00C52623">
        <w:rPr>
          <w:rFonts w:ascii="Bell MT" w:hAnsi="Bell MT"/>
          <w:i/>
          <w:noProof/>
        </w:rPr>
        <w:drawing>
          <wp:inline distT="0" distB="0" distL="0" distR="0" wp14:anchorId="53D67CEC" wp14:editId="52C0BF2C">
            <wp:extent cx="146050" cy="146050"/>
            <wp:effectExtent l="0" t="0" r="6350" b="6350"/>
            <wp:docPr id="2" name="Picture 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9"/>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C52623">
        <w:rPr>
          <w:rFonts w:ascii="Times New Roman" w:eastAsia="Times New Roman" w:hAnsi="Times New Roman" w:cs="Times New Roman"/>
          <w:sz w:val="20"/>
        </w:rPr>
        <w:t xml:space="preserve"> </w:t>
      </w:r>
      <w:proofErr w:type="spellStart"/>
      <w:r w:rsidR="00F50142" w:rsidRPr="00F50142">
        <w:rPr>
          <w:rFonts w:ascii="Times New Roman" w:eastAsia="Times New Roman" w:hAnsi="Times New Roman" w:cs="Times New Roman"/>
          <w:sz w:val="20"/>
        </w:rPr>
        <w:t>Eka</w:t>
      </w:r>
      <w:proofErr w:type="spellEnd"/>
      <w:r w:rsidR="00F50142" w:rsidRPr="00F50142">
        <w:rPr>
          <w:rFonts w:ascii="Times New Roman" w:eastAsia="Times New Roman" w:hAnsi="Times New Roman" w:cs="Times New Roman"/>
          <w:sz w:val="20"/>
        </w:rPr>
        <w:t xml:space="preserve"> Purwanda</w:t>
      </w:r>
      <w:r w:rsidR="00F50142" w:rsidRPr="00F50142">
        <w:rPr>
          <w:rFonts w:ascii="Times New Roman" w:eastAsia="Times New Roman" w:hAnsi="Times New Roman" w:cs="Times New Roman"/>
          <w:sz w:val="20"/>
          <w:vertAlign w:val="superscript"/>
        </w:rPr>
        <w:t>4</w:t>
      </w:r>
      <w:r w:rsidR="00F50142" w:rsidRPr="00F50142">
        <w:rPr>
          <w:rFonts w:ascii="Times New Roman" w:eastAsia="Times New Roman" w:hAnsi="Times New Roman" w:cs="Times New Roman"/>
          <w:sz w:val="20"/>
        </w:rPr>
        <w:t xml:space="preserve">, </w:t>
      </w:r>
      <w:r w:rsidR="00C52623">
        <w:rPr>
          <w:rFonts w:ascii="Bell MT" w:hAnsi="Bell MT"/>
          <w:i/>
          <w:noProof/>
        </w:rPr>
        <w:drawing>
          <wp:inline distT="0" distB="0" distL="0" distR="0" wp14:anchorId="69C7550F" wp14:editId="7A2F3C06">
            <wp:extent cx="146050" cy="146050"/>
            <wp:effectExtent l="0" t="0" r="6350" b="6350"/>
            <wp:docPr id="4" name="Picture 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20"/>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C52623">
        <w:rPr>
          <w:rFonts w:ascii="Times New Roman" w:eastAsia="Times New Roman" w:hAnsi="Times New Roman" w:cs="Times New Roman"/>
          <w:sz w:val="20"/>
        </w:rPr>
        <w:t xml:space="preserve"> </w:t>
      </w:r>
      <w:proofErr w:type="spellStart"/>
      <w:r w:rsidR="00F50142" w:rsidRPr="00F50142">
        <w:rPr>
          <w:rFonts w:ascii="Times New Roman" w:eastAsia="Times New Roman" w:hAnsi="Times New Roman" w:cs="Times New Roman"/>
          <w:sz w:val="20"/>
        </w:rPr>
        <w:t>Lilis</w:t>
      </w:r>
      <w:proofErr w:type="spellEnd"/>
      <w:r w:rsidR="00F50142" w:rsidRPr="00F50142">
        <w:rPr>
          <w:rFonts w:ascii="Times New Roman" w:eastAsia="Times New Roman" w:hAnsi="Times New Roman" w:cs="Times New Roman"/>
          <w:sz w:val="20"/>
        </w:rPr>
        <w:t xml:space="preserve"> Nur Kholishoh</w:t>
      </w:r>
      <w:r w:rsidR="00F50142" w:rsidRPr="00F50142">
        <w:rPr>
          <w:rFonts w:ascii="Times New Roman" w:eastAsia="Times New Roman" w:hAnsi="Times New Roman" w:cs="Times New Roman"/>
          <w:sz w:val="20"/>
          <w:vertAlign w:val="superscript"/>
        </w:rPr>
        <w:t>5</w:t>
      </w:r>
    </w:p>
    <w:p w14:paraId="008EE323" w14:textId="22D467EB" w:rsidR="00FC60E0" w:rsidRDefault="00FC60E0" w:rsidP="004B7B66">
      <w:pPr>
        <w:spacing w:after="0" w:line="240" w:lineRule="auto"/>
        <w:jc w:val="center"/>
        <w:rPr>
          <w:rFonts w:ascii="Times New Roman" w:eastAsia="Times New Roman" w:hAnsi="Times New Roman" w:cs="Times New Roman"/>
          <w:szCs w:val="20"/>
        </w:rPr>
      </w:pPr>
    </w:p>
    <w:p w14:paraId="49A37A69" w14:textId="77777777" w:rsidR="006C3FFD" w:rsidRPr="00F37D45" w:rsidRDefault="006C3FFD" w:rsidP="004B7B66">
      <w:pPr>
        <w:spacing w:after="0" w:line="240" w:lineRule="auto"/>
        <w:jc w:val="center"/>
        <w:rPr>
          <w:rFonts w:ascii="Times New Roman" w:eastAsia="Times New Roman" w:hAnsi="Times New Roman" w:cs="Times New Roman"/>
          <w:szCs w:val="20"/>
        </w:rPr>
      </w:pPr>
    </w:p>
    <w:p w14:paraId="2D9ACB55" w14:textId="0E7A6D04" w:rsidR="00F50142" w:rsidRPr="00F50142" w:rsidRDefault="00F50142" w:rsidP="004B7B66">
      <w:pPr>
        <w:spacing w:after="0" w:line="240" w:lineRule="auto"/>
        <w:jc w:val="center"/>
        <w:rPr>
          <w:rFonts w:ascii="Times New Roman" w:hAnsi="Times New Roman" w:cs="Times New Roman"/>
          <w:bCs/>
          <w:i/>
          <w:iCs/>
          <w:sz w:val="18"/>
          <w:lang w:eastAsia="ja-JP" w:bidi="ps-AF"/>
        </w:rPr>
      </w:pPr>
      <w:r w:rsidRPr="00F50142">
        <w:rPr>
          <w:rFonts w:ascii="Times New Roman" w:hAnsi="Times New Roman" w:cs="Times New Roman"/>
          <w:bCs/>
          <w:i/>
          <w:iCs/>
          <w:sz w:val="18"/>
          <w:vertAlign w:val="superscript"/>
          <w:lang w:eastAsia="ja-JP" w:bidi="ps-AF"/>
        </w:rPr>
        <w:t>1,2,5</w:t>
      </w:r>
      <w:r w:rsidRPr="00F50142">
        <w:rPr>
          <w:rFonts w:ascii="Times New Roman" w:hAnsi="Times New Roman" w:cs="Times New Roman"/>
          <w:bCs/>
          <w:i/>
          <w:iCs/>
          <w:sz w:val="18"/>
          <w:lang w:eastAsia="ja-JP" w:bidi="ps-AF"/>
        </w:rPr>
        <w:t xml:space="preserve">Department </w:t>
      </w:r>
      <w:r w:rsidR="00CA1FB3">
        <w:rPr>
          <w:rFonts w:ascii="Times New Roman" w:hAnsi="Times New Roman" w:cs="Times New Roman"/>
          <w:bCs/>
          <w:i/>
          <w:iCs/>
          <w:sz w:val="18"/>
          <w:lang w:eastAsia="ja-JP" w:bidi="ps-AF"/>
        </w:rPr>
        <w:t xml:space="preserve">of </w:t>
      </w:r>
      <w:r w:rsidRPr="00F50142">
        <w:rPr>
          <w:rFonts w:ascii="Times New Roman" w:hAnsi="Times New Roman" w:cs="Times New Roman"/>
          <w:bCs/>
          <w:i/>
          <w:iCs/>
          <w:sz w:val="18"/>
          <w:lang w:eastAsia="ja-JP" w:bidi="ps-AF"/>
        </w:rPr>
        <w:t xml:space="preserve">Economics and </w:t>
      </w:r>
      <w:r w:rsidR="00CA1FB3">
        <w:rPr>
          <w:rFonts w:ascii="Times New Roman" w:hAnsi="Times New Roman" w:cs="Times New Roman"/>
          <w:bCs/>
          <w:i/>
          <w:iCs/>
          <w:sz w:val="18"/>
          <w:lang w:eastAsia="ja-JP" w:bidi="ps-AF"/>
        </w:rPr>
        <w:t>D</w:t>
      </w:r>
      <w:r w:rsidRPr="00F50142">
        <w:rPr>
          <w:rFonts w:ascii="Times New Roman" w:hAnsi="Times New Roman" w:cs="Times New Roman"/>
          <w:bCs/>
          <w:i/>
          <w:iCs/>
          <w:sz w:val="18"/>
          <w:lang w:eastAsia="ja-JP" w:bidi="ps-AF"/>
        </w:rPr>
        <w:t xml:space="preserve">evelopment Studies, University of Sultan </w:t>
      </w:r>
      <w:proofErr w:type="spellStart"/>
      <w:r w:rsidRPr="00F50142">
        <w:rPr>
          <w:rFonts w:ascii="Times New Roman" w:hAnsi="Times New Roman" w:cs="Times New Roman"/>
          <w:bCs/>
          <w:i/>
          <w:iCs/>
          <w:sz w:val="18"/>
          <w:lang w:eastAsia="ja-JP" w:bidi="ps-AF"/>
        </w:rPr>
        <w:t>Ageng</w:t>
      </w:r>
      <w:proofErr w:type="spellEnd"/>
      <w:r w:rsidRPr="00F50142">
        <w:rPr>
          <w:rFonts w:ascii="Times New Roman" w:hAnsi="Times New Roman" w:cs="Times New Roman"/>
          <w:bCs/>
          <w:i/>
          <w:iCs/>
          <w:sz w:val="18"/>
          <w:lang w:eastAsia="ja-JP" w:bidi="ps-AF"/>
        </w:rPr>
        <w:t xml:space="preserve"> </w:t>
      </w:r>
      <w:proofErr w:type="spellStart"/>
      <w:r w:rsidRPr="00F50142">
        <w:rPr>
          <w:rFonts w:ascii="Times New Roman" w:hAnsi="Times New Roman" w:cs="Times New Roman"/>
          <w:bCs/>
          <w:i/>
          <w:iCs/>
          <w:sz w:val="18"/>
          <w:lang w:eastAsia="ja-JP" w:bidi="ps-AF"/>
        </w:rPr>
        <w:t>Tirtayasa</w:t>
      </w:r>
      <w:proofErr w:type="spellEnd"/>
      <w:r w:rsidR="00451DE1">
        <w:rPr>
          <w:rFonts w:ascii="Times New Roman" w:hAnsi="Times New Roman" w:cs="Times New Roman"/>
          <w:bCs/>
          <w:i/>
          <w:iCs/>
          <w:sz w:val="18"/>
          <w:lang w:eastAsia="ja-JP" w:bidi="ps-AF"/>
        </w:rPr>
        <w:t>,</w:t>
      </w:r>
      <w:r w:rsidR="00451DE1" w:rsidRPr="00451DE1">
        <w:t xml:space="preserve"> </w:t>
      </w:r>
      <w:r w:rsidR="00451DE1" w:rsidRPr="00451DE1">
        <w:rPr>
          <w:rFonts w:ascii="Times New Roman" w:hAnsi="Times New Roman" w:cs="Times New Roman"/>
          <w:bCs/>
          <w:i/>
          <w:iCs/>
          <w:sz w:val="18"/>
          <w:lang w:eastAsia="ja-JP" w:bidi="ps-AF"/>
        </w:rPr>
        <w:t>Indonesia</w:t>
      </w:r>
      <w:r w:rsidR="00451DE1">
        <w:rPr>
          <w:rFonts w:ascii="Times New Roman" w:hAnsi="Times New Roman" w:cs="Times New Roman"/>
          <w:bCs/>
          <w:i/>
          <w:iCs/>
          <w:sz w:val="18"/>
          <w:lang w:eastAsia="ja-JP" w:bidi="ps-AF"/>
        </w:rPr>
        <w:t>.</w:t>
      </w:r>
    </w:p>
    <w:p w14:paraId="2677417D" w14:textId="590AA115" w:rsidR="00F50142" w:rsidRPr="00F50142" w:rsidRDefault="00F50142" w:rsidP="004B7B66">
      <w:pPr>
        <w:spacing w:after="0" w:line="240" w:lineRule="auto"/>
        <w:jc w:val="center"/>
        <w:rPr>
          <w:rFonts w:ascii="Times New Roman" w:hAnsi="Times New Roman" w:cs="Times New Roman"/>
          <w:bCs/>
          <w:i/>
          <w:iCs/>
          <w:sz w:val="18"/>
          <w:lang w:eastAsia="ja-JP" w:bidi="ps-AF"/>
        </w:rPr>
      </w:pPr>
      <w:r w:rsidRPr="00F50142">
        <w:rPr>
          <w:rFonts w:ascii="Times New Roman" w:hAnsi="Times New Roman" w:cs="Times New Roman"/>
          <w:bCs/>
          <w:i/>
          <w:iCs/>
          <w:sz w:val="18"/>
          <w:vertAlign w:val="superscript"/>
          <w:lang w:eastAsia="ja-JP" w:bidi="ps-AF"/>
        </w:rPr>
        <w:t>3</w:t>
      </w:r>
      <w:r w:rsidRPr="00F50142">
        <w:rPr>
          <w:rFonts w:ascii="Times New Roman" w:hAnsi="Times New Roman" w:cs="Times New Roman"/>
          <w:bCs/>
          <w:i/>
          <w:iCs/>
          <w:sz w:val="18"/>
          <w:lang w:eastAsia="ja-JP" w:bidi="ps-AF"/>
        </w:rPr>
        <w:t>Economics Education Program Study, Universitas Pendidikan Indonesia University</w:t>
      </w:r>
      <w:r w:rsidR="00451DE1">
        <w:rPr>
          <w:rFonts w:ascii="Times New Roman" w:hAnsi="Times New Roman" w:cs="Times New Roman"/>
          <w:bCs/>
          <w:i/>
          <w:iCs/>
          <w:sz w:val="18"/>
          <w:lang w:eastAsia="ja-JP" w:bidi="ps-AF"/>
        </w:rPr>
        <w:t>,</w:t>
      </w:r>
      <w:r w:rsidR="00451DE1" w:rsidRPr="00451DE1">
        <w:t xml:space="preserve"> </w:t>
      </w:r>
      <w:r w:rsidR="00451DE1" w:rsidRPr="00451DE1">
        <w:rPr>
          <w:rFonts w:ascii="Times New Roman" w:hAnsi="Times New Roman" w:cs="Times New Roman"/>
          <w:bCs/>
          <w:i/>
          <w:iCs/>
          <w:sz w:val="18"/>
          <w:lang w:eastAsia="ja-JP" w:bidi="ps-AF"/>
        </w:rPr>
        <w:t>Indonesia</w:t>
      </w:r>
      <w:r w:rsidR="00451DE1">
        <w:rPr>
          <w:rFonts w:ascii="Times New Roman" w:hAnsi="Times New Roman" w:cs="Times New Roman"/>
          <w:bCs/>
          <w:i/>
          <w:iCs/>
          <w:sz w:val="18"/>
          <w:lang w:eastAsia="ja-JP" w:bidi="ps-AF"/>
        </w:rPr>
        <w:t>.</w:t>
      </w:r>
    </w:p>
    <w:p w14:paraId="634CA57E" w14:textId="15B786CE" w:rsidR="00720444" w:rsidRPr="00F50142" w:rsidRDefault="00F50142" w:rsidP="004B7B66">
      <w:pPr>
        <w:spacing w:after="0" w:line="240" w:lineRule="auto"/>
        <w:jc w:val="center"/>
        <w:rPr>
          <w:rFonts w:ascii="Times New Roman" w:hAnsi="Times New Roman" w:cs="Times New Roman"/>
          <w:bCs/>
          <w:i/>
          <w:iCs/>
          <w:sz w:val="18"/>
          <w:lang w:eastAsia="ja-JP" w:bidi="ps-AF"/>
        </w:rPr>
      </w:pPr>
      <w:r w:rsidRPr="00F50142">
        <w:rPr>
          <w:rFonts w:ascii="Times New Roman" w:hAnsi="Times New Roman" w:cs="Times New Roman"/>
          <w:bCs/>
          <w:i/>
          <w:iCs/>
          <w:sz w:val="18"/>
          <w:vertAlign w:val="superscript"/>
          <w:lang w:eastAsia="ja-JP" w:bidi="ps-AF"/>
        </w:rPr>
        <w:t>4</w:t>
      </w:r>
      <w:r w:rsidRPr="00F50142">
        <w:rPr>
          <w:rFonts w:ascii="Times New Roman" w:hAnsi="Times New Roman" w:cs="Times New Roman"/>
          <w:bCs/>
          <w:i/>
          <w:iCs/>
          <w:sz w:val="18"/>
          <w:lang w:eastAsia="ja-JP" w:bidi="ps-AF"/>
        </w:rPr>
        <w:t>STIE STEMBI, Bandung Business School</w:t>
      </w:r>
      <w:r w:rsidR="00451DE1">
        <w:rPr>
          <w:rFonts w:ascii="Times New Roman" w:hAnsi="Times New Roman" w:cs="Times New Roman"/>
          <w:bCs/>
          <w:i/>
          <w:iCs/>
          <w:sz w:val="18"/>
          <w:lang w:eastAsia="ja-JP" w:bidi="ps-AF"/>
        </w:rPr>
        <w:t>,</w:t>
      </w:r>
      <w:r w:rsidR="00451DE1" w:rsidRPr="00451DE1">
        <w:t xml:space="preserve"> </w:t>
      </w:r>
      <w:r w:rsidR="00451DE1" w:rsidRPr="00451DE1">
        <w:rPr>
          <w:rFonts w:ascii="Times New Roman" w:hAnsi="Times New Roman" w:cs="Times New Roman"/>
          <w:bCs/>
          <w:i/>
          <w:iCs/>
          <w:sz w:val="18"/>
          <w:lang w:eastAsia="ja-JP" w:bidi="ps-AF"/>
        </w:rPr>
        <w:t>Indonesia</w:t>
      </w:r>
      <w:r w:rsidR="00451DE1">
        <w:rPr>
          <w:rFonts w:ascii="Times New Roman" w:hAnsi="Times New Roman" w:cs="Times New Roman"/>
          <w:bCs/>
          <w:i/>
          <w:iCs/>
          <w:sz w:val="18"/>
          <w:lang w:eastAsia="ja-JP" w:bidi="ps-AF"/>
        </w:rPr>
        <w:t>.</w:t>
      </w:r>
    </w:p>
    <w:p w14:paraId="0E75BC4F" w14:textId="77777777" w:rsidR="00720444" w:rsidRDefault="00720444" w:rsidP="004B7B66">
      <w:pPr>
        <w:spacing w:after="0" w:line="240" w:lineRule="auto"/>
        <w:jc w:val="center"/>
        <w:rPr>
          <w:rFonts w:ascii="Times New Roman" w:hAnsi="Times New Roman" w:cs="Times New Roman"/>
          <w:bCs/>
          <w:i/>
          <w:iCs/>
          <w:sz w:val="18"/>
          <w:lang w:eastAsia="ja-JP" w:bidi="ps-AF"/>
        </w:rPr>
      </w:pPr>
    </w:p>
    <w:p w14:paraId="55C5DBA5" w14:textId="11E3AF94" w:rsidR="00DA2F97" w:rsidRPr="00F37D45" w:rsidRDefault="00F86083" w:rsidP="00F86083">
      <w:pPr>
        <w:spacing w:after="0" w:line="276" w:lineRule="auto"/>
        <w:jc w:val="center"/>
        <w:rPr>
          <w:rFonts w:ascii="Times New Roman" w:hAnsi="Times New Roman" w:cs="Times New Roman"/>
          <w:sz w:val="16"/>
        </w:rPr>
      </w:pPr>
      <w:r>
        <w:rPr>
          <w:rFonts w:ascii="Times New Roman" w:hAnsi="Times New Roman" w:cs="Times New Roman"/>
          <w:sz w:val="16"/>
        </w:rPr>
        <w:t>*</w:t>
      </w:r>
      <w:r>
        <w:rPr>
          <w:rFonts w:ascii="Times New Roman" w:hAnsi="Times New Roman" w:cs="Times New Roman" w:hint="eastAsia"/>
          <w:sz w:val="16"/>
          <w:lang w:eastAsia="ko-KR"/>
        </w:rPr>
        <w:t xml:space="preserve">Corresponding </w:t>
      </w:r>
      <w:r>
        <w:rPr>
          <w:rFonts w:ascii="Times New Roman" w:hAnsi="Times New Roman" w:cs="Times New Roman"/>
          <w:sz w:val="16"/>
          <w:lang w:eastAsia="ko-KR"/>
        </w:rPr>
        <w:t xml:space="preserve">author: </w:t>
      </w:r>
      <w:r w:rsidR="006C3FFD" w:rsidRPr="006C3FFD">
        <w:rPr>
          <w:rFonts w:ascii="Times New Roman" w:hAnsi="Times New Roman" w:cs="Times New Roman"/>
          <w:sz w:val="16"/>
          <w:lang w:eastAsia="ko-KR"/>
        </w:rPr>
        <w:t xml:space="preserve">Cep </w:t>
      </w:r>
      <w:proofErr w:type="spellStart"/>
      <w:r w:rsidR="006C3FFD" w:rsidRPr="006C3FFD">
        <w:rPr>
          <w:rFonts w:ascii="Times New Roman" w:hAnsi="Times New Roman" w:cs="Times New Roman"/>
          <w:sz w:val="16"/>
          <w:lang w:eastAsia="ko-KR"/>
        </w:rPr>
        <w:t>Jandi</w:t>
      </w:r>
      <w:proofErr w:type="spellEnd"/>
      <w:r w:rsidR="006C3FFD" w:rsidRPr="006C3FFD">
        <w:rPr>
          <w:rFonts w:ascii="Times New Roman" w:hAnsi="Times New Roman" w:cs="Times New Roman"/>
          <w:sz w:val="16"/>
          <w:lang w:eastAsia="ko-KR"/>
        </w:rPr>
        <w:t xml:space="preserve"> Anwar</w:t>
      </w:r>
      <w:r w:rsidRPr="00003BFA">
        <w:rPr>
          <w:rFonts w:ascii="Times New Roman" w:hAnsi="Times New Roman" w:cs="Times New Roman"/>
          <w:sz w:val="16"/>
          <w:lang w:eastAsia="ko-KR"/>
        </w:rPr>
        <w:t xml:space="preserve"> </w:t>
      </w:r>
      <w:r w:rsidRPr="00F37D45">
        <w:rPr>
          <w:rFonts w:ascii="Times New Roman" w:hAnsi="Times New Roman" w:cs="Times New Roman"/>
          <w:sz w:val="16"/>
        </w:rPr>
        <w:t>(</w:t>
      </w:r>
      <w:r w:rsidRPr="004F2B7D">
        <w:rPr>
          <w:rFonts w:ascii="Times New Roman" w:hAnsi="Times New Roman" w:cs="Times New Roman"/>
          <w:i/>
          <w:sz w:val="16"/>
        </w:rPr>
        <w:t>Email:</w:t>
      </w:r>
      <w:r w:rsidR="00671305">
        <w:rPr>
          <w:rFonts w:ascii="Times New Roman" w:hAnsi="Times New Roman" w:cs="Times New Roman"/>
          <w:i/>
          <w:sz w:val="16"/>
        </w:rPr>
        <w:t xml:space="preserve"> </w:t>
      </w:r>
      <w:hyperlink r:id="rId21" w:history="1">
        <w:r w:rsidR="00671305" w:rsidRPr="00EC0979">
          <w:rPr>
            <w:rStyle w:val="Hyperlink"/>
            <w:rFonts w:ascii="Times New Roman" w:hAnsi="Times New Roman" w:cs="Times New Roman"/>
            <w:i/>
            <w:sz w:val="16"/>
          </w:rPr>
          <w:t>cepjandianwar@untirta.ac.id</w:t>
        </w:r>
      </w:hyperlink>
      <w:r w:rsidRPr="00F37D45">
        <w:rPr>
          <w:rFonts w:ascii="Times New Roman" w:hAnsi="Times New Roman" w:cs="Times New Roman"/>
          <w:sz w:val="16"/>
        </w:rPr>
        <w:t>)</w:t>
      </w:r>
    </w:p>
    <w:p w14:paraId="22882495" w14:textId="77777777" w:rsidR="00DA2F97" w:rsidRPr="00F37D45" w:rsidRDefault="00DA2F97" w:rsidP="004B7B66">
      <w:pPr>
        <w:spacing w:after="0" w:line="240" w:lineRule="auto"/>
        <w:jc w:val="center"/>
        <w:rPr>
          <w:rFonts w:ascii="Times New Roman" w:hAnsi="Times New Roman" w:cs="Times New Roman"/>
          <w:bCs/>
          <w:i/>
          <w:iCs/>
          <w:sz w:val="20"/>
          <w:lang w:eastAsia="ja-JP" w:bidi="ps-AF"/>
        </w:rPr>
      </w:pPr>
    </w:p>
    <w:p w14:paraId="5BF02139" w14:textId="77777777" w:rsidR="0037294F" w:rsidRPr="00F37D45" w:rsidRDefault="00E76F19" w:rsidP="004B7B66">
      <w:pPr>
        <w:tabs>
          <w:tab w:val="left" w:pos="5468"/>
        </w:tabs>
        <w:bidi/>
        <w:spacing w:after="0" w:line="240" w:lineRule="auto"/>
        <w:rPr>
          <w:rFonts w:ascii="Times New Roman" w:hAnsi="Times New Roman" w:cs="Times New Roman"/>
          <w:bCs/>
          <w:i/>
          <w:iCs/>
          <w:color w:val="000000"/>
          <w:sz w:val="20"/>
          <w:szCs w:val="20"/>
          <w:rtl/>
          <w:lang w:eastAsia="ja-JP" w:bidi="ps-AF"/>
        </w:rPr>
      </w:pPr>
      <w:r w:rsidRPr="00F37D45">
        <w:rPr>
          <w:rFonts w:ascii="Times New Roman" w:hAnsi="Times New Roman" w:cs="Times New Roman"/>
          <w:bCs/>
          <w:i/>
          <w:iCs/>
          <w:color w:val="000000"/>
          <w:sz w:val="20"/>
          <w:szCs w:val="20"/>
          <w:lang w:eastAsia="ja-JP" w:bidi="ps-AF"/>
        </w:rPr>
        <w:tab/>
      </w:r>
    </w:p>
    <w:p w14:paraId="26377148" w14:textId="77777777" w:rsidR="00B039EA" w:rsidRPr="00F37D45" w:rsidRDefault="0037294F" w:rsidP="004B7B66">
      <w:pPr>
        <w:pBdr>
          <w:bottom w:val="single" w:sz="4" w:space="4" w:color="auto"/>
        </w:pBdr>
        <w:spacing w:after="0" w:line="240" w:lineRule="auto"/>
        <w:jc w:val="center"/>
        <w:rPr>
          <w:rFonts w:ascii="Times New Roman" w:hAnsi="Times New Roman" w:cs="Times New Roman"/>
          <w:b/>
          <w:bCs/>
          <w:sz w:val="24"/>
          <w:szCs w:val="24"/>
        </w:rPr>
      </w:pPr>
      <w:r w:rsidRPr="00F37D45">
        <w:rPr>
          <w:rFonts w:ascii="Times New Roman" w:hAnsi="Times New Roman" w:cs="Times New Roman"/>
          <w:b/>
          <w:bCs/>
          <w:sz w:val="24"/>
          <w:szCs w:val="24"/>
        </w:rPr>
        <w:t>Abstract</w:t>
      </w:r>
    </w:p>
    <w:p w14:paraId="2012AA99" w14:textId="67BD6CB7" w:rsidR="00CA4577" w:rsidRPr="000D0263" w:rsidRDefault="00CA4577" w:rsidP="00CA4577">
      <w:pPr>
        <w:shd w:val="clear" w:color="auto" w:fill="D9E2F3"/>
        <w:spacing w:after="0" w:line="240" w:lineRule="auto"/>
        <w:jc w:val="both"/>
        <w:rPr>
          <w:rFonts w:ascii="Times New Roman" w:hAnsi="Times New Roman" w:cs="Times New Roman"/>
          <w:sz w:val="20"/>
          <w:szCs w:val="20"/>
        </w:rPr>
      </w:pPr>
      <w:r w:rsidRPr="000D0263">
        <w:rPr>
          <w:rFonts w:ascii="Times New Roman" w:hAnsi="Times New Roman" w:cs="Times New Roman"/>
          <w:sz w:val="20"/>
          <w:szCs w:val="20"/>
        </w:rPr>
        <w:t>This research measures the short and long-run effects of central bank policy rate on the volatility of the exchange rate in Indonesia using the quarterly data from Q1 1992 to Q4 2019. The process involves applying an Autoregressive Distribution Lag estimation to investigate the effect</w:t>
      </w:r>
      <w:r w:rsidR="000E34ED">
        <w:rPr>
          <w:rFonts w:ascii="Times New Roman" w:hAnsi="Times New Roman" w:cs="Times New Roman"/>
          <w:sz w:val="20"/>
          <w:szCs w:val="20"/>
        </w:rPr>
        <w:t>s</w:t>
      </w:r>
      <w:r w:rsidRPr="000D0263">
        <w:rPr>
          <w:rFonts w:ascii="Times New Roman" w:hAnsi="Times New Roman" w:cs="Times New Roman"/>
          <w:sz w:val="20"/>
          <w:szCs w:val="20"/>
        </w:rPr>
        <w:t xml:space="preserve"> </w:t>
      </w:r>
      <w:r w:rsidR="000E34ED">
        <w:rPr>
          <w:rFonts w:ascii="Times New Roman" w:hAnsi="Times New Roman" w:cs="Times New Roman"/>
          <w:sz w:val="20"/>
          <w:szCs w:val="20"/>
        </w:rPr>
        <w:t>of</w:t>
      </w:r>
      <w:r w:rsidRPr="000D0263">
        <w:rPr>
          <w:rFonts w:ascii="Times New Roman" w:hAnsi="Times New Roman" w:cs="Times New Roman"/>
          <w:sz w:val="20"/>
          <w:szCs w:val="20"/>
        </w:rPr>
        <w:t xml:space="preserve"> the variables. The exchange rate volatilities include Indonesia Rupiah to US Dollar (IDR-USD), Indonesia Rupiah to Singapore Dollar (IDR-SGD), Indonesia Rupiah to Australia Dollar (IDR-AUD), Indonesia Rupiah to British Pound </w:t>
      </w:r>
      <w:r w:rsidR="000E34ED">
        <w:rPr>
          <w:rFonts w:ascii="Times New Roman" w:hAnsi="Times New Roman" w:cs="Times New Roman"/>
          <w:sz w:val="20"/>
          <w:szCs w:val="20"/>
        </w:rPr>
        <w:t>S</w:t>
      </w:r>
      <w:r w:rsidRPr="000D0263">
        <w:rPr>
          <w:rFonts w:ascii="Times New Roman" w:hAnsi="Times New Roman" w:cs="Times New Roman"/>
          <w:sz w:val="20"/>
          <w:szCs w:val="20"/>
        </w:rPr>
        <w:t>terling (IDR-GBP), and Indonesia Rupiah to Euro (IDR-EURO). Several results were obtained and the first</w:t>
      </w:r>
      <w:r w:rsidR="000E34ED">
        <w:rPr>
          <w:rFonts w:ascii="Times New Roman" w:hAnsi="Times New Roman" w:cs="Times New Roman"/>
          <w:sz w:val="20"/>
          <w:szCs w:val="20"/>
        </w:rPr>
        <w:t xml:space="preserve"> to show</w:t>
      </w:r>
      <w:r w:rsidRPr="000D0263">
        <w:rPr>
          <w:rFonts w:ascii="Times New Roman" w:hAnsi="Times New Roman" w:cs="Times New Roman"/>
          <w:sz w:val="20"/>
          <w:szCs w:val="20"/>
        </w:rPr>
        <w:t xml:space="preserve"> the adjustment time for exchange rate volatility to achieve long-run equilibrium was 1.77 quarters to 2.26 quarters using the ARDL estimation. Secondly, a decrease in</w:t>
      </w:r>
      <w:r w:rsidR="00B90F30">
        <w:rPr>
          <w:rFonts w:ascii="Times New Roman" w:hAnsi="Times New Roman" w:cs="Times New Roman"/>
          <w:sz w:val="20"/>
          <w:szCs w:val="20"/>
        </w:rPr>
        <w:t xml:space="preserve"> </w:t>
      </w:r>
      <w:r w:rsidR="00CA1FB3">
        <w:rPr>
          <w:rFonts w:ascii="Times New Roman" w:hAnsi="Times New Roman" w:cs="Times New Roman"/>
          <w:sz w:val="20"/>
          <w:szCs w:val="20"/>
        </w:rPr>
        <w:t xml:space="preserve">the </w:t>
      </w:r>
      <w:r w:rsidR="00B90F30">
        <w:rPr>
          <w:rFonts w:ascii="Times New Roman" w:hAnsi="Times New Roman" w:cs="Times New Roman"/>
          <w:sz w:val="20"/>
          <w:szCs w:val="20"/>
        </w:rPr>
        <w:t>central bank rate was found to</w:t>
      </w:r>
      <w:r w:rsidRPr="000D0263">
        <w:rPr>
          <w:rFonts w:ascii="Times New Roman" w:hAnsi="Times New Roman" w:cs="Times New Roman"/>
          <w:sz w:val="20"/>
          <w:szCs w:val="20"/>
        </w:rPr>
        <w:t xml:space="preserve"> significantly reduce the exchange rate volatility in the short</w:t>
      </w:r>
      <w:r w:rsidR="00CA1FB3">
        <w:rPr>
          <w:rFonts w:ascii="Times New Roman" w:hAnsi="Times New Roman" w:cs="Times New Roman"/>
          <w:sz w:val="20"/>
          <w:szCs w:val="20"/>
        </w:rPr>
        <w:t xml:space="preserve"> </w:t>
      </w:r>
      <w:r w:rsidRPr="000D0263">
        <w:rPr>
          <w:rFonts w:ascii="Times New Roman" w:hAnsi="Times New Roman" w:cs="Times New Roman"/>
          <w:sz w:val="20"/>
          <w:szCs w:val="20"/>
        </w:rPr>
        <w:t>run and long</w:t>
      </w:r>
      <w:r w:rsidR="00CA1FB3">
        <w:rPr>
          <w:rFonts w:ascii="Times New Roman" w:hAnsi="Times New Roman" w:cs="Times New Roman"/>
          <w:sz w:val="20"/>
          <w:szCs w:val="20"/>
        </w:rPr>
        <w:t xml:space="preserve"> </w:t>
      </w:r>
      <w:r w:rsidRPr="000D0263">
        <w:rPr>
          <w:rFonts w:ascii="Times New Roman" w:hAnsi="Times New Roman" w:cs="Times New Roman"/>
          <w:sz w:val="20"/>
          <w:szCs w:val="20"/>
        </w:rPr>
        <w:t>run. These results are robust since Full Modified Ordinary Least Square (FMOLS) estimation was applied for all five models. Furthermore, it was found that in the long</w:t>
      </w:r>
      <w:r w:rsidR="00887493">
        <w:rPr>
          <w:rFonts w:ascii="Times New Roman" w:hAnsi="Times New Roman" w:cs="Times New Roman"/>
          <w:sz w:val="20"/>
          <w:szCs w:val="20"/>
        </w:rPr>
        <w:t xml:space="preserve"> </w:t>
      </w:r>
      <w:r w:rsidRPr="000D0263">
        <w:rPr>
          <w:rFonts w:ascii="Times New Roman" w:hAnsi="Times New Roman" w:cs="Times New Roman"/>
          <w:sz w:val="20"/>
          <w:szCs w:val="20"/>
        </w:rPr>
        <w:t xml:space="preserve">run, </w:t>
      </w:r>
      <w:r w:rsidR="00CA1FB3">
        <w:rPr>
          <w:rFonts w:ascii="Times New Roman" w:hAnsi="Times New Roman" w:cs="Times New Roman"/>
          <w:sz w:val="20"/>
          <w:szCs w:val="20"/>
        </w:rPr>
        <w:t xml:space="preserve">the </w:t>
      </w:r>
      <w:r w:rsidRPr="000D0263">
        <w:rPr>
          <w:rFonts w:ascii="Times New Roman" w:hAnsi="Times New Roman" w:cs="Times New Roman"/>
          <w:sz w:val="20"/>
          <w:szCs w:val="20"/>
        </w:rPr>
        <w:t>central bank policy rate had a significant positive effect on the volatility of the Indonesia Rupiah against five foreign exchange rates. Therefore, it was suggested that the policymakers need to keep th</w:t>
      </w:r>
      <w:r w:rsidR="00B90F30">
        <w:rPr>
          <w:rFonts w:ascii="Times New Roman" w:hAnsi="Times New Roman" w:cs="Times New Roman"/>
          <w:sz w:val="20"/>
          <w:szCs w:val="20"/>
        </w:rPr>
        <w:t xml:space="preserve">e interest rate of </w:t>
      </w:r>
      <w:r w:rsidR="00CA1FB3">
        <w:rPr>
          <w:rFonts w:ascii="Times New Roman" w:hAnsi="Times New Roman" w:cs="Times New Roman"/>
          <w:sz w:val="20"/>
          <w:szCs w:val="20"/>
        </w:rPr>
        <w:t xml:space="preserve">the </w:t>
      </w:r>
      <w:r w:rsidR="00B90F30">
        <w:rPr>
          <w:rFonts w:ascii="Times New Roman" w:hAnsi="Times New Roman" w:cs="Times New Roman"/>
          <w:sz w:val="20"/>
          <w:szCs w:val="20"/>
        </w:rPr>
        <w:t>central bank</w:t>
      </w:r>
      <w:r w:rsidRPr="000D0263">
        <w:rPr>
          <w:rFonts w:ascii="Times New Roman" w:hAnsi="Times New Roman" w:cs="Times New Roman"/>
          <w:sz w:val="20"/>
          <w:szCs w:val="20"/>
        </w:rPr>
        <w:t xml:space="preserve"> low and stable to ensure the Rupiah exchange rate stability.</w:t>
      </w:r>
    </w:p>
    <w:p w14:paraId="338B5CD6" w14:textId="77777777" w:rsidR="00C92888" w:rsidRPr="00F37D45" w:rsidRDefault="00C92888" w:rsidP="004B7B66">
      <w:pPr>
        <w:pBdr>
          <w:bottom w:val="single" w:sz="4" w:space="1" w:color="auto"/>
        </w:pBdr>
        <w:tabs>
          <w:tab w:val="left" w:pos="993"/>
          <w:tab w:val="right" w:pos="6995"/>
        </w:tabs>
        <w:spacing w:after="0" w:line="240" w:lineRule="auto"/>
        <w:rPr>
          <w:rFonts w:ascii="Times New Roman" w:hAnsi="Times New Roman" w:cs="Times New Roman"/>
          <w:sz w:val="2"/>
          <w:szCs w:val="2"/>
        </w:rPr>
      </w:pPr>
    </w:p>
    <w:p w14:paraId="04754DEB" w14:textId="3B0BB4B1" w:rsidR="00F32847" w:rsidRDefault="00C92888" w:rsidP="004B7B66">
      <w:pPr>
        <w:tabs>
          <w:tab w:val="left" w:pos="993"/>
          <w:tab w:val="right" w:pos="6995"/>
        </w:tabs>
        <w:spacing w:after="0" w:line="240" w:lineRule="auto"/>
        <w:rPr>
          <w:rFonts w:ascii="Times New Roman" w:hAnsi="Times New Roman" w:cs="Times New Roman"/>
          <w:sz w:val="18"/>
        </w:rPr>
      </w:pPr>
      <w:r w:rsidRPr="00F37D45">
        <w:rPr>
          <w:rFonts w:ascii="Times New Roman" w:hAnsi="Times New Roman" w:cs="Times New Roman"/>
          <w:b/>
          <w:bCs/>
          <w:iCs/>
          <w:sz w:val="18"/>
        </w:rPr>
        <w:t>Keywords:</w:t>
      </w:r>
      <w:r w:rsidR="00C2224C" w:rsidRPr="00F37D45">
        <w:rPr>
          <w:rFonts w:ascii="Times New Roman" w:hAnsi="Times New Roman" w:cs="Times New Roman"/>
          <w:sz w:val="18"/>
        </w:rPr>
        <w:t xml:space="preserve"> </w:t>
      </w:r>
      <w:r w:rsidR="00AA1C49" w:rsidRPr="00AA1C49">
        <w:rPr>
          <w:rFonts w:ascii="Times New Roman" w:hAnsi="Times New Roman" w:cs="Times New Roman"/>
          <w:sz w:val="18"/>
        </w:rPr>
        <w:t xml:space="preserve">ARDL estimation, Central bank rate, </w:t>
      </w:r>
      <w:r w:rsidR="00CA4577">
        <w:rPr>
          <w:rFonts w:ascii="Times New Roman" w:hAnsi="Times New Roman" w:cs="Times New Roman"/>
          <w:sz w:val="18"/>
        </w:rPr>
        <w:t xml:space="preserve">Credit Gap, </w:t>
      </w:r>
      <w:r w:rsidR="00AA1C49" w:rsidRPr="00AA1C49">
        <w:rPr>
          <w:rFonts w:ascii="Times New Roman" w:hAnsi="Times New Roman" w:cs="Times New Roman"/>
          <w:sz w:val="18"/>
        </w:rPr>
        <w:t xml:space="preserve">Exchange rate volatility, FMOLS, </w:t>
      </w:r>
      <w:r w:rsidR="00CA4577">
        <w:rPr>
          <w:rFonts w:ascii="Times New Roman" w:hAnsi="Times New Roman" w:cs="Times New Roman"/>
          <w:sz w:val="18"/>
        </w:rPr>
        <w:t xml:space="preserve">GARCH, </w:t>
      </w:r>
      <w:r w:rsidR="00AA1C49" w:rsidRPr="00AA1C49">
        <w:rPr>
          <w:rFonts w:ascii="Times New Roman" w:hAnsi="Times New Roman" w:cs="Times New Roman"/>
          <w:sz w:val="18"/>
        </w:rPr>
        <w:t>Indonesia.</w:t>
      </w:r>
    </w:p>
    <w:p w14:paraId="572E93A6" w14:textId="0ED7F902" w:rsidR="00F50142" w:rsidRDefault="00F50142" w:rsidP="004B7B66">
      <w:pPr>
        <w:tabs>
          <w:tab w:val="left" w:pos="993"/>
          <w:tab w:val="right" w:pos="6995"/>
        </w:tabs>
        <w:spacing w:after="0" w:line="240" w:lineRule="auto"/>
        <w:rPr>
          <w:rFonts w:ascii="Times New Roman" w:hAnsi="Times New Roman" w:cs="Times New Roman"/>
          <w:sz w:val="18"/>
        </w:rPr>
      </w:pPr>
      <w:r w:rsidRPr="00F50142">
        <w:rPr>
          <w:rFonts w:ascii="Times New Roman" w:hAnsi="Times New Roman" w:cs="Times New Roman"/>
          <w:b/>
          <w:sz w:val="18"/>
        </w:rPr>
        <w:t>JEL Classification:</w:t>
      </w:r>
      <w:r>
        <w:rPr>
          <w:rFonts w:ascii="Times New Roman" w:hAnsi="Times New Roman" w:cs="Times New Roman"/>
          <w:sz w:val="18"/>
        </w:rPr>
        <w:t xml:space="preserve"> </w:t>
      </w:r>
      <w:r w:rsidRPr="00F50142">
        <w:rPr>
          <w:rFonts w:ascii="Times New Roman" w:hAnsi="Times New Roman" w:cs="Times New Roman"/>
          <w:sz w:val="18"/>
        </w:rPr>
        <w:t>E31</w:t>
      </w:r>
      <w:r w:rsidR="00C74F11">
        <w:rPr>
          <w:rFonts w:ascii="Times New Roman" w:hAnsi="Times New Roman" w:cs="Times New Roman"/>
          <w:sz w:val="18"/>
        </w:rPr>
        <w:t>;</w:t>
      </w:r>
      <w:r w:rsidRPr="00F50142">
        <w:rPr>
          <w:rFonts w:ascii="Times New Roman" w:hAnsi="Times New Roman" w:cs="Times New Roman"/>
          <w:sz w:val="18"/>
        </w:rPr>
        <w:t xml:space="preserve"> E52</w:t>
      </w:r>
      <w:r w:rsidR="00C74F11">
        <w:rPr>
          <w:rFonts w:ascii="Times New Roman" w:hAnsi="Times New Roman" w:cs="Times New Roman"/>
          <w:sz w:val="18"/>
        </w:rPr>
        <w:t>;</w:t>
      </w:r>
      <w:r w:rsidRPr="00F50142">
        <w:rPr>
          <w:rFonts w:ascii="Times New Roman" w:hAnsi="Times New Roman" w:cs="Times New Roman"/>
          <w:sz w:val="18"/>
        </w:rPr>
        <w:t xml:space="preserve"> F31</w:t>
      </w:r>
      <w:r w:rsidR="00166854">
        <w:rPr>
          <w:rFonts w:ascii="Times New Roman" w:hAnsi="Times New Roman" w:cs="Times New Roman"/>
          <w:sz w:val="18"/>
        </w:rPr>
        <w:t>.</w:t>
      </w:r>
    </w:p>
    <w:p w14:paraId="233AF17C" w14:textId="7C322C29" w:rsidR="00F32847" w:rsidRDefault="00F32847" w:rsidP="004B7B66">
      <w:pPr>
        <w:tabs>
          <w:tab w:val="left" w:pos="993"/>
          <w:tab w:val="right" w:pos="6995"/>
        </w:tabs>
        <w:spacing w:after="0" w:line="240" w:lineRule="auto"/>
        <w:rPr>
          <w:rFonts w:ascii="Times New Roman" w:hAnsi="Times New Roman" w:cs="Times New Roman"/>
          <w:sz w:val="18"/>
        </w:rPr>
      </w:pPr>
    </w:p>
    <w:p w14:paraId="2BD51243" w14:textId="77777777" w:rsidR="00F86083" w:rsidRDefault="00F86083" w:rsidP="004B7B66">
      <w:pPr>
        <w:tabs>
          <w:tab w:val="left" w:pos="993"/>
          <w:tab w:val="right" w:pos="6995"/>
        </w:tabs>
        <w:spacing w:after="0" w:line="240" w:lineRule="auto"/>
        <w:rPr>
          <w:rFonts w:ascii="Times New Roman" w:hAnsi="Times New Roman" w:cs="Times New Roman"/>
          <w:sz w:val="18"/>
        </w:rPr>
      </w:pPr>
    </w:p>
    <w:tbl>
      <w:tblPr>
        <w:tblW w:w="9900" w:type="dxa"/>
        <w:jc w:val="center"/>
        <w:shd w:val="clear" w:color="auto" w:fill="FFFFFF"/>
        <w:tblLook w:val="04A0" w:firstRow="1" w:lastRow="0" w:firstColumn="1" w:lastColumn="0" w:noHBand="0" w:noVBand="1"/>
      </w:tblPr>
      <w:tblGrid>
        <w:gridCol w:w="9900"/>
      </w:tblGrid>
      <w:tr w:rsidR="00F86083" w:rsidRPr="005B399A" w14:paraId="61BFD972" w14:textId="77777777" w:rsidTr="00E50688">
        <w:trPr>
          <w:jc w:val="center"/>
        </w:trPr>
        <w:tc>
          <w:tcPr>
            <w:tcW w:w="9900" w:type="dxa"/>
            <w:shd w:val="clear" w:color="auto" w:fill="FFFFFF"/>
          </w:tcPr>
          <w:tbl>
            <w:tblPr>
              <w:tblW w:w="0" w:type="auto"/>
              <w:shd w:val="clear" w:color="auto" w:fill="DEEAF6"/>
              <w:tblLook w:val="04A0" w:firstRow="1" w:lastRow="0" w:firstColumn="1" w:lastColumn="0" w:noHBand="0" w:noVBand="1"/>
            </w:tblPr>
            <w:tblGrid>
              <w:gridCol w:w="9674"/>
            </w:tblGrid>
            <w:tr w:rsidR="00F86083" w:rsidRPr="005B399A" w14:paraId="30EF704E" w14:textId="77777777" w:rsidTr="00E50688">
              <w:tc>
                <w:tcPr>
                  <w:tcW w:w="9674" w:type="dxa"/>
                  <w:shd w:val="clear" w:color="auto" w:fill="DEEAF6"/>
                </w:tcPr>
                <w:p w14:paraId="38A6F2E2" w14:textId="56C27378" w:rsidR="00F86083" w:rsidRPr="005A5CD5" w:rsidRDefault="00F86083" w:rsidP="00E50688">
                  <w:pPr>
                    <w:shd w:val="clear" w:color="auto" w:fill="DEEAF6"/>
                    <w:spacing w:after="0" w:line="240" w:lineRule="auto"/>
                    <w:ind w:left="-108"/>
                    <w:jc w:val="both"/>
                    <w:rPr>
                      <w:rFonts w:ascii="Times New Roman" w:hAnsi="Times New Roman" w:cs="Times New Roman"/>
                      <w:bCs/>
                      <w:sz w:val="18"/>
                    </w:rPr>
                  </w:pPr>
                  <w:r w:rsidRPr="005A5CD5">
                    <w:rPr>
                      <w:rFonts w:ascii="Times New Roman" w:hAnsi="Times New Roman" w:cs="Times New Roman"/>
                      <w:b/>
                      <w:sz w:val="18"/>
                    </w:rPr>
                    <w:t xml:space="preserve">DOI: </w:t>
                  </w:r>
                  <w:r w:rsidR="009F52D1" w:rsidRPr="009F52D1">
                    <w:rPr>
                      <w:rFonts w:ascii="Times New Roman" w:hAnsi="Times New Roman" w:cs="Times New Roman"/>
                      <w:bCs/>
                      <w:sz w:val="18"/>
                    </w:rPr>
                    <w:t>10.53894/</w:t>
                  </w:r>
                  <w:proofErr w:type="gramStart"/>
                  <w:r w:rsidR="009F52D1" w:rsidRPr="009F52D1">
                    <w:rPr>
                      <w:rFonts w:ascii="Times New Roman" w:hAnsi="Times New Roman" w:cs="Times New Roman"/>
                      <w:bCs/>
                      <w:sz w:val="18"/>
                    </w:rPr>
                    <w:t>ijirss.v</w:t>
                  </w:r>
                  <w:proofErr w:type="gramEnd"/>
                  <w:r w:rsidR="009F52D1" w:rsidRPr="009F52D1">
                    <w:rPr>
                      <w:rFonts w:ascii="Times New Roman" w:hAnsi="Times New Roman" w:cs="Times New Roman"/>
                      <w:bCs/>
                      <w:sz w:val="18"/>
                    </w:rPr>
                    <w:t>5i4.851</w:t>
                  </w:r>
                </w:p>
                <w:p w14:paraId="77C08D08" w14:textId="77777777" w:rsidR="00F86083" w:rsidRPr="005B399A" w:rsidRDefault="00F86083" w:rsidP="00E50688">
                  <w:pPr>
                    <w:shd w:val="clear" w:color="auto" w:fill="DEEAF6"/>
                    <w:spacing w:after="0" w:line="240" w:lineRule="auto"/>
                    <w:ind w:left="-108"/>
                    <w:jc w:val="both"/>
                    <w:rPr>
                      <w:rFonts w:ascii="Times New Roman" w:hAnsi="Times New Roman" w:cs="Times New Roman"/>
                      <w:sz w:val="18"/>
                    </w:rPr>
                  </w:pPr>
                  <w:r w:rsidRPr="005B399A">
                    <w:rPr>
                      <w:rFonts w:ascii="Times New Roman" w:hAnsi="Times New Roman" w:cs="Times New Roman"/>
                      <w:b/>
                      <w:sz w:val="18"/>
                    </w:rPr>
                    <w:t>Funding:</w:t>
                  </w:r>
                  <w:r>
                    <w:rPr>
                      <w:rFonts w:ascii="Times New Roman" w:hAnsi="Times New Roman" w:cs="Times New Roman"/>
                      <w:b/>
                      <w:sz w:val="18"/>
                    </w:rPr>
                    <w:t xml:space="preserve"> </w:t>
                  </w:r>
                  <w:r w:rsidRPr="005C38B5">
                    <w:rPr>
                      <w:rFonts w:ascii="Times New Roman" w:hAnsi="Times New Roman" w:cs="Times New Roman"/>
                      <w:sz w:val="18"/>
                    </w:rPr>
                    <w:t xml:space="preserve">This study received no specific financial support.   </w:t>
                  </w:r>
                </w:p>
              </w:tc>
            </w:tr>
          </w:tbl>
          <w:p w14:paraId="6CB438AD" w14:textId="21C881A6" w:rsidR="00F86083" w:rsidRPr="00A06A50" w:rsidRDefault="00F86083" w:rsidP="00E50688">
            <w:pPr>
              <w:shd w:val="clear" w:color="auto" w:fill="DEEAF6"/>
              <w:tabs>
                <w:tab w:val="left" w:pos="3859"/>
                <w:tab w:val="right" w:pos="10354"/>
              </w:tabs>
              <w:spacing w:after="0" w:line="240" w:lineRule="auto"/>
              <w:jc w:val="both"/>
              <w:rPr>
                <w:rFonts w:ascii="Times New Roman" w:hAnsi="Times New Roman" w:cs="Times New Roman"/>
                <w:bCs/>
                <w:color w:val="000000"/>
                <w:sz w:val="18"/>
                <w:szCs w:val="24"/>
              </w:rPr>
            </w:pPr>
            <w:r w:rsidRPr="005B399A">
              <w:rPr>
                <w:rFonts w:ascii="Times New Roman" w:hAnsi="Times New Roman" w:cs="Times New Roman"/>
                <w:b/>
                <w:bCs/>
                <w:sz w:val="18"/>
              </w:rPr>
              <w:t xml:space="preserve">History: </w:t>
            </w:r>
            <w:r w:rsidRPr="005A5CD5">
              <w:rPr>
                <w:rFonts w:ascii="Times New Roman" w:hAnsi="Times New Roman" w:cs="Times New Roman"/>
                <w:b/>
                <w:bCs/>
                <w:color w:val="000000"/>
                <w:sz w:val="18"/>
                <w:szCs w:val="24"/>
              </w:rPr>
              <w:t xml:space="preserve">Received: </w:t>
            </w:r>
            <w:r w:rsidR="00E10C10">
              <w:rPr>
                <w:rFonts w:ascii="Times New Roman" w:hAnsi="Times New Roman" w:cs="Times New Roman"/>
                <w:bCs/>
                <w:color w:val="000000"/>
                <w:sz w:val="18"/>
                <w:szCs w:val="24"/>
              </w:rPr>
              <w:t>22</w:t>
            </w:r>
            <w:r>
              <w:rPr>
                <w:bCs/>
                <w:color w:val="000000"/>
                <w:sz w:val="18"/>
                <w:szCs w:val="24"/>
              </w:rPr>
              <w:t xml:space="preserve"> </w:t>
            </w:r>
            <w:r w:rsidR="00E10C10">
              <w:rPr>
                <w:rFonts w:ascii="Times New Roman" w:hAnsi="Times New Roman" w:cs="Times New Roman"/>
                <w:bCs/>
                <w:color w:val="000000"/>
                <w:sz w:val="18"/>
                <w:szCs w:val="24"/>
              </w:rPr>
              <w:t>August</w:t>
            </w:r>
            <w:r w:rsidRPr="005A5CD5">
              <w:rPr>
                <w:rFonts w:ascii="Times New Roman" w:hAnsi="Times New Roman" w:cs="Times New Roman"/>
                <w:bCs/>
                <w:color w:val="000000"/>
                <w:sz w:val="18"/>
                <w:szCs w:val="24"/>
              </w:rPr>
              <w:t xml:space="preserve"> 2022</w:t>
            </w:r>
            <w:r w:rsidRPr="005A5CD5">
              <w:rPr>
                <w:rFonts w:ascii="Times New Roman" w:hAnsi="Times New Roman" w:cs="Times New Roman"/>
                <w:b/>
                <w:bCs/>
                <w:color w:val="000000"/>
                <w:sz w:val="18"/>
                <w:szCs w:val="24"/>
              </w:rPr>
              <w:t xml:space="preserve">/Revised: </w:t>
            </w:r>
            <w:r w:rsidR="00E10C10">
              <w:rPr>
                <w:rFonts w:ascii="Times New Roman" w:hAnsi="Times New Roman" w:cs="Times New Roman"/>
                <w:bCs/>
                <w:color w:val="000000"/>
                <w:sz w:val="18"/>
                <w:szCs w:val="24"/>
              </w:rPr>
              <w:t>30</w:t>
            </w:r>
            <w:r w:rsidRPr="005A5CD5">
              <w:rPr>
                <w:rFonts w:ascii="Times New Roman" w:hAnsi="Times New Roman" w:cs="Times New Roman"/>
                <w:bCs/>
                <w:color w:val="000000"/>
                <w:sz w:val="18"/>
                <w:szCs w:val="24"/>
              </w:rPr>
              <w:t xml:space="preserve"> </w:t>
            </w:r>
            <w:r>
              <w:rPr>
                <w:rFonts w:ascii="Times New Roman" w:hAnsi="Times New Roman" w:cs="Times New Roman"/>
                <w:bCs/>
                <w:color w:val="000000"/>
                <w:sz w:val="18"/>
                <w:szCs w:val="24"/>
              </w:rPr>
              <w:t>September</w:t>
            </w:r>
            <w:r w:rsidRPr="005A5CD5">
              <w:rPr>
                <w:rFonts w:ascii="Times New Roman" w:hAnsi="Times New Roman" w:cs="Times New Roman"/>
                <w:bCs/>
                <w:color w:val="000000"/>
                <w:sz w:val="18"/>
                <w:szCs w:val="24"/>
              </w:rPr>
              <w:t xml:space="preserve"> 2022</w:t>
            </w:r>
            <w:r w:rsidRPr="005A5CD5">
              <w:rPr>
                <w:rFonts w:ascii="Times New Roman" w:hAnsi="Times New Roman" w:cs="Times New Roman"/>
                <w:b/>
                <w:bCs/>
                <w:color w:val="000000"/>
                <w:sz w:val="18"/>
                <w:szCs w:val="24"/>
              </w:rPr>
              <w:t xml:space="preserve">/Accepted: </w:t>
            </w:r>
            <w:r w:rsidR="00E10C10">
              <w:rPr>
                <w:rFonts w:ascii="Times New Roman" w:hAnsi="Times New Roman" w:cs="Times New Roman"/>
                <w:color w:val="000000"/>
                <w:sz w:val="18"/>
                <w:szCs w:val="24"/>
              </w:rPr>
              <w:t>14</w:t>
            </w:r>
            <w:r w:rsidRPr="005A5CD5">
              <w:rPr>
                <w:rFonts w:ascii="Times New Roman" w:hAnsi="Times New Roman" w:cs="Times New Roman"/>
                <w:bCs/>
                <w:color w:val="000000"/>
                <w:sz w:val="18"/>
                <w:szCs w:val="24"/>
              </w:rPr>
              <w:t xml:space="preserve"> </w:t>
            </w:r>
            <w:r>
              <w:rPr>
                <w:rFonts w:ascii="Times New Roman" w:hAnsi="Times New Roman" w:cs="Times New Roman"/>
                <w:bCs/>
                <w:color w:val="000000"/>
                <w:sz w:val="18"/>
                <w:szCs w:val="24"/>
              </w:rPr>
              <w:t>October</w:t>
            </w:r>
            <w:r w:rsidRPr="005A5CD5">
              <w:rPr>
                <w:rFonts w:ascii="Times New Roman" w:hAnsi="Times New Roman" w:cs="Times New Roman"/>
                <w:bCs/>
                <w:color w:val="000000"/>
                <w:sz w:val="18"/>
                <w:szCs w:val="24"/>
              </w:rPr>
              <w:t xml:space="preserve"> 2022</w:t>
            </w:r>
            <w:r w:rsidRPr="005A5CD5">
              <w:rPr>
                <w:rFonts w:ascii="Times New Roman" w:hAnsi="Times New Roman" w:cs="Times New Roman"/>
                <w:b/>
                <w:bCs/>
                <w:color w:val="000000"/>
                <w:sz w:val="18"/>
                <w:szCs w:val="24"/>
              </w:rPr>
              <w:t xml:space="preserve">/Published: </w:t>
            </w:r>
            <w:r w:rsidR="006A2703">
              <w:rPr>
                <w:rFonts w:ascii="Times New Roman" w:hAnsi="Times New Roman" w:cs="Times New Roman"/>
                <w:bCs/>
                <w:color w:val="000000"/>
                <w:sz w:val="18"/>
                <w:szCs w:val="24"/>
              </w:rPr>
              <w:t>28</w:t>
            </w:r>
            <w:r>
              <w:rPr>
                <w:rFonts w:ascii="Times New Roman" w:hAnsi="Times New Roman" w:cs="Times New Roman"/>
                <w:bCs/>
                <w:color w:val="000000"/>
                <w:sz w:val="18"/>
                <w:szCs w:val="24"/>
              </w:rPr>
              <w:t xml:space="preserve"> October</w:t>
            </w:r>
            <w:r w:rsidRPr="005A5CD5">
              <w:rPr>
                <w:rFonts w:ascii="Times New Roman" w:hAnsi="Times New Roman" w:cs="Times New Roman"/>
                <w:bCs/>
                <w:color w:val="000000"/>
                <w:sz w:val="18"/>
                <w:szCs w:val="24"/>
              </w:rPr>
              <w:t xml:space="preserve"> 2022</w:t>
            </w:r>
          </w:p>
          <w:p w14:paraId="58EF249B" w14:textId="6C4A1991" w:rsidR="00F86083" w:rsidRPr="00F86083" w:rsidRDefault="00F86083" w:rsidP="00E50688">
            <w:pPr>
              <w:shd w:val="clear" w:color="auto" w:fill="DEEAF6"/>
              <w:tabs>
                <w:tab w:val="left" w:pos="3859"/>
                <w:tab w:val="right" w:pos="10354"/>
              </w:tabs>
              <w:spacing w:after="0" w:line="240" w:lineRule="auto"/>
              <w:jc w:val="both"/>
              <w:rPr>
                <w:rStyle w:val="Hyperlink"/>
                <w:rFonts w:ascii="Times New Roman" w:hAnsi="Times New Roman" w:cs="Times New Roman"/>
                <w:bCs/>
                <w:color w:val="000000"/>
                <w:sz w:val="18"/>
                <w:u w:val="none"/>
                <w:lang w:val="ru-RU"/>
              </w:rPr>
            </w:pPr>
            <w:r w:rsidRPr="00F86083">
              <w:rPr>
                <w:rStyle w:val="Hyperlink"/>
                <w:rFonts w:ascii="Times New Roman" w:hAnsi="Times New Roman" w:cs="Times New Roman"/>
                <w:b/>
                <w:color w:val="000000"/>
                <w:sz w:val="18"/>
                <w:u w:val="none"/>
              </w:rPr>
              <w:t>Copyright:</w:t>
            </w:r>
            <w:r w:rsidRPr="00F86083">
              <w:rPr>
                <w:rStyle w:val="Hyperlink"/>
                <w:rFonts w:ascii="Times New Roman" w:hAnsi="Times New Roman" w:cs="Times New Roman"/>
                <w:bCs/>
                <w:color w:val="000000"/>
                <w:sz w:val="18"/>
                <w:u w:val="none"/>
              </w:rPr>
              <w:t xml:space="preserve"> © 2022 by the authors. This article is an open access article distributed under the terms and conditions of the Creative Commons Attribution (CC BY) license (</w:t>
            </w:r>
            <w:hyperlink r:id="rId22" w:history="1">
              <w:r w:rsidRPr="002A5583">
                <w:rPr>
                  <w:rStyle w:val="Hyperlink"/>
                  <w:rFonts w:ascii="Times New Roman" w:hAnsi="Times New Roman" w:cs="Times New Roman"/>
                  <w:bCs/>
                  <w:sz w:val="18"/>
                </w:rPr>
                <w:t>https://creativecommons.org/licenses/by/4.0/</w:t>
              </w:r>
            </w:hyperlink>
            <w:r w:rsidRPr="00F86083">
              <w:rPr>
                <w:rStyle w:val="Hyperlink"/>
                <w:rFonts w:ascii="Times New Roman" w:hAnsi="Times New Roman" w:cs="Times New Roman"/>
                <w:bCs/>
                <w:color w:val="000000"/>
                <w:sz w:val="18"/>
                <w:u w:val="none"/>
              </w:rPr>
              <w:t>).</w:t>
            </w:r>
          </w:p>
          <w:p w14:paraId="695C2D8A" w14:textId="77777777" w:rsidR="00F86083" w:rsidRPr="00F86083" w:rsidRDefault="00F86083" w:rsidP="00E50688">
            <w:pPr>
              <w:shd w:val="clear" w:color="auto" w:fill="DEEAF6"/>
              <w:tabs>
                <w:tab w:val="left" w:pos="3859"/>
                <w:tab w:val="right" w:pos="10354"/>
              </w:tabs>
              <w:spacing w:after="0" w:line="240" w:lineRule="auto"/>
              <w:jc w:val="both"/>
              <w:rPr>
                <w:rStyle w:val="Hyperlink"/>
                <w:rFonts w:ascii="Times New Roman" w:hAnsi="Times New Roman" w:cs="Times New Roman"/>
                <w:color w:val="000000"/>
                <w:sz w:val="18"/>
                <w:u w:val="none"/>
              </w:rPr>
            </w:pPr>
            <w:r w:rsidRPr="00F86083">
              <w:rPr>
                <w:rStyle w:val="Hyperlink"/>
                <w:rFonts w:ascii="Times New Roman" w:hAnsi="Times New Roman" w:cs="Times New Roman"/>
                <w:b/>
                <w:bCs/>
                <w:color w:val="000000"/>
                <w:sz w:val="18"/>
                <w:u w:val="none"/>
              </w:rPr>
              <w:t xml:space="preserve">Authors’ Contributions: </w:t>
            </w:r>
            <w:r w:rsidRPr="00F86083">
              <w:rPr>
                <w:rStyle w:val="Hyperlink"/>
                <w:rFonts w:ascii="Times New Roman" w:hAnsi="Times New Roman" w:cs="Times New Roman"/>
                <w:color w:val="000000"/>
                <w:sz w:val="18"/>
                <w:u w:val="none"/>
              </w:rPr>
              <w:t>All authors contributed equally to the conception and design of the study.</w:t>
            </w:r>
          </w:p>
          <w:p w14:paraId="104C022B" w14:textId="77777777" w:rsidR="00F86083" w:rsidRPr="005B399A" w:rsidRDefault="00F86083" w:rsidP="00E50688">
            <w:pPr>
              <w:shd w:val="clear" w:color="auto" w:fill="DEEAF6"/>
              <w:spacing w:after="0" w:line="240" w:lineRule="auto"/>
              <w:jc w:val="both"/>
              <w:rPr>
                <w:rFonts w:ascii="Times New Roman" w:hAnsi="Times New Roman" w:cs="Times New Roman"/>
                <w:sz w:val="18"/>
              </w:rPr>
            </w:pPr>
            <w:r w:rsidRPr="005B399A">
              <w:rPr>
                <w:rFonts w:ascii="Times New Roman" w:hAnsi="Times New Roman" w:cs="Times New Roman"/>
                <w:b/>
                <w:sz w:val="18"/>
              </w:rPr>
              <w:t xml:space="preserve">Competing Interests: </w:t>
            </w:r>
            <w:r w:rsidRPr="005B399A">
              <w:rPr>
                <w:rFonts w:ascii="Times New Roman" w:eastAsia="Times New Roman" w:hAnsi="Times New Roman" w:cs="Times New Roman"/>
                <w:sz w:val="18"/>
                <w:szCs w:val="18"/>
              </w:rPr>
              <w:t>The authors declare that they have no competing interests.</w:t>
            </w:r>
          </w:p>
          <w:p w14:paraId="4EFBE8D6" w14:textId="77777777" w:rsidR="00F86083" w:rsidRPr="005B399A" w:rsidRDefault="00F86083" w:rsidP="00E50688">
            <w:pPr>
              <w:shd w:val="clear" w:color="auto" w:fill="DEEAF6"/>
              <w:spacing w:after="0" w:line="240" w:lineRule="auto"/>
              <w:jc w:val="both"/>
              <w:rPr>
                <w:rFonts w:ascii="Times New Roman" w:hAnsi="Times New Roman" w:cs="Times New Roman"/>
                <w:sz w:val="18"/>
              </w:rPr>
            </w:pPr>
            <w:r w:rsidRPr="005B399A">
              <w:rPr>
                <w:rFonts w:ascii="Times New Roman" w:hAnsi="Times New Roman" w:cs="Times New Roman"/>
                <w:b/>
                <w:sz w:val="18"/>
              </w:rPr>
              <w:t xml:space="preserve">Transparency: </w:t>
            </w:r>
            <w:r w:rsidRPr="005B399A">
              <w:rPr>
                <w:rFonts w:ascii="Times New Roman" w:hAnsi="Times New Roman" w:cs="Times New Roman"/>
                <w:sz w:val="18"/>
              </w:rPr>
              <w:t xml:space="preserve"> The authors confirm that the manuscript is an honest, accurate, and transparent account of the study; that no vital features of the study have been omitted; and that any discrepancies from the study as planned have been explained.</w:t>
            </w:r>
          </w:p>
          <w:p w14:paraId="312042F1" w14:textId="77777777" w:rsidR="00F86083" w:rsidRDefault="00F86083" w:rsidP="00E50688">
            <w:pPr>
              <w:shd w:val="clear" w:color="auto" w:fill="DEEAF6"/>
              <w:spacing w:after="0" w:line="240" w:lineRule="auto"/>
              <w:jc w:val="both"/>
              <w:rPr>
                <w:rFonts w:ascii="Times New Roman" w:hAnsi="Times New Roman" w:cs="Times New Roman"/>
                <w:sz w:val="18"/>
              </w:rPr>
            </w:pPr>
            <w:r w:rsidRPr="005B399A">
              <w:rPr>
                <w:rFonts w:ascii="Times New Roman" w:hAnsi="Times New Roman" w:cs="Times New Roman"/>
                <w:b/>
                <w:sz w:val="18"/>
              </w:rPr>
              <w:t xml:space="preserve">Ethical: </w:t>
            </w:r>
            <w:r w:rsidRPr="005B399A">
              <w:rPr>
                <w:rFonts w:ascii="Times New Roman" w:hAnsi="Times New Roman" w:cs="Times New Roman"/>
                <w:sz w:val="18"/>
              </w:rPr>
              <w:t>This study followed all ethical practices during writing.</w:t>
            </w:r>
          </w:p>
          <w:p w14:paraId="3DB4F24A" w14:textId="77777777" w:rsidR="00F86083" w:rsidRPr="005B399A" w:rsidRDefault="00F86083" w:rsidP="00E50688">
            <w:pPr>
              <w:shd w:val="clear" w:color="auto" w:fill="DEEAF6"/>
              <w:spacing w:after="0" w:line="240" w:lineRule="auto"/>
              <w:jc w:val="both"/>
              <w:rPr>
                <w:rFonts w:ascii="Times New Roman" w:hAnsi="Times New Roman" w:cs="Times New Roman"/>
                <w:sz w:val="18"/>
              </w:rPr>
            </w:pPr>
            <w:r w:rsidRPr="00974BF0">
              <w:rPr>
                <w:rFonts w:ascii="Times New Roman" w:hAnsi="Times New Roman" w:cs="Times New Roman"/>
                <w:b/>
                <w:bCs/>
                <w:sz w:val="18"/>
              </w:rPr>
              <w:t>Publisher:</w:t>
            </w:r>
            <w:r w:rsidRPr="00974BF0">
              <w:rPr>
                <w:rFonts w:ascii="Times New Roman" w:hAnsi="Times New Roman" w:cs="Times New Roman"/>
                <w:sz w:val="18"/>
              </w:rPr>
              <w:t xml:space="preserve"> Innovative Research Publishing</w:t>
            </w:r>
          </w:p>
        </w:tc>
      </w:tr>
    </w:tbl>
    <w:p w14:paraId="1E57065A" w14:textId="0BE3BF1F" w:rsidR="00F32847" w:rsidRDefault="00F32847" w:rsidP="004B7B66">
      <w:pPr>
        <w:tabs>
          <w:tab w:val="left" w:pos="993"/>
          <w:tab w:val="right" w:pos="6995"/>
        </w:tabs>
        <w:spacing w:after="0" w:line="240" w:lineRule="auto"/>
        <w:rPr>
          <w:rFonts w:ascii="Times New Roman" w:hAnsi="Times New Roman" w:cs="Times New Roman"/>
          <w:sz w:val="18"/>
        </w:rPr>
      </w:pPr>
    </w:p>
    <w:p w14:paraId="3B27AD5A" w14:textId="77777777" w:rsidR="00F86083" w:rsidRDefault="00F86083" w:rsidP="004B7B66">
      <w:pPr>
        <w:tabs>
          <w:tab w:val="left" w:pos="993"/>
          <w:tab w:val="right" w:pos="6995"/>
        </w:tabs>
        <w:spacing w:after="0" w:line="240" w:lineRule="auto"/>
        <w:rPr>
          <w:rFonts w:ascii="Times New Roman" w:hAnsi="Times New Roman" w:cs="Times New Roman"/>
          <w:sz w:val="18"/>
        </w:rPr>
      </w:pPr>
    </w:p>
    <w:p w14:paraId="0B9B5C60" w14:textId="77777777" w:rsidR="0075199F" w:rsidRPr="006125A5" w:rsidRDefault="003028B3" w:rsidP="004B7B66">
      <w:pPr>
        <w:tabs>
          <w:tab w:val="left" w:pos="993"/>
          <w:tab w:val="right" w:pos="6995"/>
        </w:tabs>
        <w:spacing w:after="0" w:line="240" w:lineRule="auto"/>
        <w:rPr>
          <w:rFonts w:ascii="Times New Roman" w:hAnsi="Times New Roman" w:cs="Times New Roman"/>
          <w:b/>
          <w:bCs/>
          <w:szCs w:val="20"/>
        </w:rPr>
      </w:pPr>
      <w:r w:rsidRPr="006125A5">
        <w:rPr>
          <w:rFonts w:ascii="Times New Roman" w:hAnsi="Times New Roman" w:cs="Times New Roman"/>
          <w:b/>
          <w:bCs/>
          <w:szCs w:val="20"/>
        </w:rPr>
        <w:t xml:space="preserve">1. </w:t>
      </w:r>
      <w:r w:rsidR="00763730" w:rsidRPr="006125A5">
        <w:rPr>
          <w:rFonts w:ascii="Times New Roman" w:hAnsi="Times New Roman" w:cs="Times New Roman"/>
          <w:b/>
          <w:bCs/>
          <w:szCs w:val="20"/>
        </w:rPr>
        <w:t>Introduction</w:t>
      </w:r>
    </w:p>
    <w:p w14:paraId="101F14A6" w14:textId="482B33E5" w:rsidR="001A3E56" w:rsidRPr="004B7B66" w:rsidRDefault="00ED3312" w:rsidP="00293371">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t xml:space="preserve">The </w:t>
      </w:r>
      <w:r w:rsidR="001A3E56" w:rsidRPr="004B7B66">
        <w:rPr>
          <w:rFonts w:ascii="Times New Roman" w:hAnsi="Times New Roman" w:cs="Times New Roman"/>
          <w:sz w:val="20"/>
          <w:szCs w:val="20"/>
        </w:rPr>
        <w:t xml:space="preserve">Central </w:t>
      </w:r>
      <w:r>
        <w:rPr>
          <w:rFonts w:ascii="Times New Roman" w:hAnsi="Times New Roman" w:cs="Times New Roman"/>
          <w:sz w:val="20"/>
          <w:szCs w:val="20"/>
        </w:rPr>
        <w:t>B</w:t>
      </w:r>
      <w:r w:rsidR="001A3E56" w:rsidRPr="004B7B66">
        <w:rPr>
          <w:rFonts w:ascii="Times New Roman" w:hAnsi="Times New Roman" w:cs="Times New Roman"/>
          <w:sz w:val="20"/>
          <w:szCs w:val="20"/>
        </w:rPr>
        <w:t xml:space="preserve">ank plays an important role in maintaining the stability of some macroeconomic variables such as the exchange rate, price, and finances in recent years </w:t>
      </w:r>
      <w:r w:rsidR="00323A06" w:rsidRPr="00323A06">
        <w:rPr>
          <w:rFonts w:ascii="Times New Roman" w:hAnsi="Times New Roman" w:cs="Times New Roman"/>
          <w:color w:val="0000CC"/>
          <w:sz w:val="20"/>
          <w:szCs w:val="20"/>
        </w:rPr>
        <w:fldChar w:fldCharType="begin"/>
      </w:r>
      <w:r w:rsidR="00AF2A4C">
        <w:rPr>
          <w:rFonts w:ascii="Times New Roman" w:hAnsi="Times New Roman" w:cs="Times New Roman"/>
          <w:color w:val="0000CC"/>
          <w:sz w:val="20"/>
          <w:szCs w:val="20"/>
        </w:rPr>
        <w:instrText xml:space="preserve"> ADDIN EN.CITE &lt;EndNote&gt;&lt;Cite&gt;&lt;Author&gt;Dow&lt;/Author&gt;&lt;Year&gt;2017&lt;/Year&gt;&lt;RecNum&gt;13&lt;/RecNum&gt;&lt;DisplayText&gt;[1, 2]&lt;/DisplayText&gt;&lt;record&gt;&lt;rec-number&gt;13&lt;/rec-number&gt;&lt;foreign-keys&gt;&lt;key app="EN" db-id="w02dva9072e097ez0eov2pwr9fvdzpzav5te"&gt;13&lt;/key&gt;&lt;/foreign-keys&gt;&lt;ref-type name="Journal Article"&gt;17&lt;/ref-type&gt;&lt;contributors&gt;&lt;authors&gt;&lt;author&gt;Dow, Sheila&lt;/author&gt;&lt;/authors&gt;&lt;/contributors&gt;&lt;titles&gt;&lt;title&gt;Central banking in the twenty-first century&lt;/title&gt;&lt;secondary-title&gt;Cambridge Journal of Economics&lt;/secondary-title&gt;&lt;/titles&gt;&lt;pages&gt;1539-1557&lt;/pages&gt;&lt;volume&gt;41&lt;/volume&gt;&lt;number&gt;6&lt;/number&gt;&lt;dates&gt;&lt;year&gt;2017&lt;/year&gt;&lt;/dates&gt;&lt;isbn&gt;1464-3545&lt;/isbn&gt;&lt;urls&gt;&lt;/urls&gt;&lt;electronic-resource-num&gt;https://doi.org/10.1093/cje/bex051&lt;/electronic-resource-num&gt;&lt;/record&gt;&lt;/Cite&gt;&lt;Cite&gt;&lt;Author&gt;Bordo&lt;/Author&gt;&lt;Year&gt;2018&lt;/Year&gt;&lt;RecNum&gt;7&lt;/RecNum&gt;&lt;record&gt;&lt;rec-number&gt;7&lt;/rec-number&gt;&lt;foreign-keys&gt;&lt;key app="EN" db-id="w02dva9072e097ez0eov2pwr9fvdzpzav5te"&gt;7&lt;/key&gt;&lt;/foreign-keys&gt;&lt;ref-type name="Journal Article"&gt;17&lt;/ref-type&gt;&lt;contributors&gt;&lt;authors&gt;&lt;author&gt;Bordo, Michael D&lt;/author&gt;&lt;/authors&gt;&lt;/contributors&gt;&lt;titles&gt;&lt;title&gt;An historical perspective on the quest for financial stability and the monetary policy regime&lt;/title&gt;&lt;secondary-title&gt;The Journal of Economic History&lt;/secondary-title&gt;&lt;/titles&gt;&lt;pages&gt;319-357&lt;/pages&gt;&lt;volume&gt;78&lt;/volume&gt;&lt;number&gt;2&lt;/number&gt;&lt;dates&gt;&lt;year&gt;2018&lt;/year&gt;&lt;/dates&gt;&lt;isbn&gt;0022-0507&lt;/isbn&gt;&lt;urls&gt;&lt;/urls&gt;&lt;electronic-resource-num&gt;https://doi.org/10.1017/s0022050718000281&lt;/electronic-resource-num&gt;&lt;/record&gt;&lt;/Cite&gt;&lt;/EndNote&gt;</w:instrText>
      </w:r>
      <w:r w:rsidR="00323A06" w:rsidRPr="00323A06">
        <w:rPr>
          <w:rFonts w:ascii="Times New Roman" w:hAnsi="Times New Roman" w:cs="Times New Roman"/>
          <w:color w:val="0000CC"/>
          <w:sz w:val="20"/>
          <w:szCs w:val="20"/>
        </w:rPr>
        <w:fldChar w:fldCharType="separate"/>
      </w:r>
      <w:r w:rsidR="00323A06">
        <w:rPr>
          <w:rFonts w:ascii="Times New Roman" w:hAnsi="Times New Roman" w:cs="Times New Roman"/>
          <w:noProof/>
          <w:color w:val="0000CC"/>
          <w:sz w:val="20"/>
          <w:szCs w:val="20"/>
        </w:rPr>
        <w:t>[</w:t>
      </w:r>
      <w:hyperlink w:anchor="_ENREF_1" w:tooltip="Dow, 2017 #13" w:history="1">
        <w:r w:rsidR="00AF2A4C">
          <w:rPr>
            <w:rFonts w:ascii="Times New Roman" w:hAnsi="Times New Roman" w:cs="Times New Roman"/>
            <w:noProof/>
            <w:color w:val="0000CC"/>
            <w:sz w:val="20"/>
            <w:szCs w:val="20"/>
          </w:rPr>
          <w:t>1</w:t>
        </w:r>
      </w:hyperlink>
      <w:r w:rsidR="00323A06">
        <w:rPr>
          <w:rFonts w:ascii="Times New Roman" w:hAnsi="Times New Roman" w:cs="Times New Roman"/>
          <w:noProof/>
          <w:color w:val="0000CC"/>
          <w:sz w:val="20"/>
          <w:szCs w:val="20"/>
        </w:rPr>
        <w:t xml:space="preserve">, </w:t>
      </w:r>
      <w:hyperlink w:anchor="_ENREF_2" w:tooltip="Bordo, 2018 #7" w:history="1">
        <w:r w:rsidR="00AF2A4C">
          <w:rPr>
            <w:rFonts w:ascii="Times New Roman" w:hAnsi="Times New Roman" w:cs="Times New Roman"/>
            <w:noProof/>
            <w:color w:val="0000CC"/>
            <w:sz w:val="20"/>
            <w:szCs w:val="20"/>
          </w:rPr>
          <w:t>2</w:t>
        </w:r>
      </w:hyperlink>
      <w:r w:rsidR="00323A06">
        <w:rPr>
          <w:rFonts w:ascii="Times New Roman" w:hAnsi="Times New Roman" w:cs="Times New Roman"/>
          <w:noProof/>
          <w:color w:val="0000CC"/>
          <w:sz w:val="20"/>
          <w:szCs w:val="20"/>
        </w:rPr>
        <w:t>]</w:t>
      </w:r>
      <w:r w:rsidR="00323A06" w:rsidRPr="00323A06">
        <w:rPr>
          <w:rFonts w:ascii="Times New Roman" w:hAnsi="Times New Roman" w:cs="Times New Roman"/>
          <w:color w:val="0000CC"/>
          <w:sz w:val="20"/>
          <w:szCs w:val="20"/>
        </w:rPr>
        <w:fldChar w:fldCharType="end"/>
      </w:r>
      <w:r w:rsidR="001A3E56" w:rsidRPr="004B7B66">
        <w:rPr>
          <w:rFonts w:ascii="Times New Roman" w:hAnsi="Times New Roman" w:cs="Times New Roman"/>
          <w:sz w:val="20"/>
          <w:szCs w:val="20"/>
        </w:rPr>
        <w:t xml:space="preserve">. Currently, monetary policymakers are placing special attention </w:t>
      </w:r>
      <w:r>
        <w:rPr>
          <w:rFonts w:ascii="Times New Roman" w:hAnsi="Times New Roman" w:cs="Times New Roman"/>
          <w:sz w:val="20"/>
          <w:szCs w:val="20"/>
        </w:rPr>
        <w:t>on</w:t>
      </w:r>
      <w:r w:rsidRPr="004B7B66">
        <w:rPr>
          <w:rFonts w:ascii="Times New Roman" w:hAnsi="Times New Roman" w:cs="Times New Roman"/>
          <w:sz w:val="20"/>
          <w:szCs w:val="20"/>
        </w:rPr>
        <w:t xml:space="preserve"> </w:t>
      </w:r>
      <w:r w:rsidR="001A3E56" w:rsidRPr="004B7B66">
        <w:rPr>
          <w:rFonts w:ascii="Times New Roman" w:hAnsi="Times New Roman" w:cs="Times New Roman"/>
          <w:sz w:val="20"/>
          <w:szCs w:val="20"/>
        </w:rPr>
        <w:t>price and financial stability while exchange rate stability is always a secondary objective</w:t>
      </w:r>
      <w:r w:rsidR="00323A06">
        <w:rPr>
          <w:rFonts w:ascii="Times New Roman" w:hAnsi="Times New Roman" w:cs="Times New Roman"/>
          <w:sz w:val="20"/>
          <w:szCs w:val="20"/>
        </w:rPr>
        <w:t xml:space="preserve"> </w:t>
      </w:r>
      <w:r w:rsidR="00323A06" w:rsidRPr="00323A06">
        <w:rPr>
          <w:rFonts w:ascii="Times New Roman" w:hAnsi="Times New Roman" w:cs="Times New Roman"/>
          <w:color w:val="0000CC"/>
          <w:sz w:val="20"/>
          <w:szCs w:val="20"/>
        </w:rPr>
        <w:fldChar w:fldCharType="begin"/>
      </w:r>
      <w:r w:rsidR="00AF2A4C">
        <w:rPr>
          <w:rFonts w:ascii="Times New Roman" w:hAnsi="Times New Roman" w:cs="Times New Roman"/>
          <w:color w:val="0000CC"/>
          <w:sz w:val="20"/>
          <w:szCs w:val="20"/>
        </w:rPr>
        <w:instrText xml:space="preserve"> ADDIN EN.CITE &lt;EndNote&gt;&lt;Cite AuthorYear="1"&gt;&lt;Author&gt;Fabris&lt;/Author&gt;&lt;Year&gt;2018&lt;/Year&gt;&lt;RecNum&gt;14&lt;/RecNum&gt;&lt;DisplayText&gt;Fabris [3]&lt;/DisplayText&gt;&lt;record&gt;&lt;rec-number&gt;14&lt;/rec-number&gt;&lt;foreign-keys&gt;&lt;key app="EN" db-id="w02dva9072e097ez0eov2pwr9fvdzpzav5te"&gt;14&lt;/key&gt;&lt;/foreign-keys&gt;&lt;ref-type name="Journal Article"&gt;17&lt;/ref-type&gt;&lt;contributors&gt;&lt;authors&gt;&lt;author&gt;Fabris, Nikola&lt;/author&gt;&lt;/authors&gt;&lt;/contributors&gt;&lt;titles&gt;&lt;title&gt;Challenges for modern monetary policy&lt;/title&gt;&lt;secondary-title&gt;Journal of Central Banking Theory and Practice&lt;/secondary-title&gt;&lt;/titles&gt;&lt;pages&gt;5-24&lt;/pages&gt;&lt;volume&gt;7&lt;/volume&gt;&lt;number&gt;2&lt;/number&gt;&lt;dates&gt;&lt;year&gt;2018&lt;/year&gt;&lt;/dates&gt;&lt;urls&gt;&lt;/urls&gt;&lt;electronic-resource-num&gt;https://doi.org/10.2478/jcbtp-2018-0010&lt;/electronic-resource-num&gt;&lt;/record&gt;&lt;/Cite&gt;&lt;/EndNote&gt;</w:instrText>
      </w:r>
      <w:r w:rsidR="00323A06" w:rsidRPr="00323A06">
        <w:rPr>
          <w:rFonts w:ascii="Times New Roman" w:hAnsi="Times New Roman" w:cs="Times New Roman"/>
          <w:color w:val="0000CC"/>
          <w:sz w:val="20"/>
          <w:szCs w:val="20"/>
        </w:rPr>
        <w:fldChar w:fldCharType="separate"/>
      </w:r>
      <w:hyperlink w:anchor="_ENREF_3" w:tooltip="Fabris, 2018 #14" w:history="1">
        <w:r w:rsidR="00AF2A4C">
          <w:rPr>
            <w:rFonts w:ascii="Times New Roman" w:hAnsi="Times New Roman" w:cs="Times New Roman"/>
            <w:noProof/>
            <w:color w:val="0000CC"/>
            <w:sz w:val="20"/>
            <w:szCs w:val="20"/>
          </w:rPr>
          <w:t>Fabris [3</w:t>
        </w:r>
      </w:hyperlink>
      <w:r w:rsidR="00323A06">
        <w:rPr>
          <w:rFonts w:ascii="Times New Roman" w:hAnsi="Times New Roman" w:cs="Times New Roman"/>
          <w:noProof/>
          <w:color w:val="0000CC"/>
          <w:sz w:val="20"/>
          <w:szCs w:val="20"/>
        </w:rPr>
        <w:t>]</w:t>
      </w:r>
      <w:r w:rsidR="00323A06" w:rsidRPr="00323A06">
        <w:rPr>
          <w:rFonts w:ascii="Times New Roman" w:hAnsi="Times New Roman" w:cs="Times New Roman"/>
          <w:color w:val="0000CC"/>
          <w:sz w:val="20"/>
          <w:szCs w:val="20"/>
        </w:rPr>
        <w:fldChar w:fldCharType="end"/>
      </w:r>
      <w:r w:rsidR="00323A06">
        <w:rPr>
          <w:rFonts w:ascii="Times New Roman" w:hAnsi="Times New Roman" w:cs="Times New Roman"/>
          <w:color w:val="0000CC"/>
          <w:sz w:val="20"/>
          <w:szCs w:val="20"/>
        </w:rPr>
        <w:t xml:space="preserve">; </w:t>
      </w:r>
      <w:r w:rsidR="00323A06">
        <w:rPr>
          <w:rFonts w:ascii="Times New Roman" w:hAnsi="Times New Roman" w:cs="Times New Roman"/>
          <w:color w:val="0000CC"/>
          <w:sz w:val="20"/>
          <w:szCs w:val="20"/>
        </w:rPr>
        <w:fldChar w:fldCharType="begin"/>
      </w:r>
      <w:r w:rsidR="00AF2A4C">
        <w:rPr>
          <w:rFonts w:ascii="Times New Roman" w:hAnsi="Times New Roman" w:cs="Times New Roman"/>
          <w:color w:val="0000CC"/>
          <w:sz w:val="20"/>
          <w:szCs w:val="20"/>
        </w:rPr>
        <w:instrText xml:space="preserve"> ADDIN EN.CITE &lt;EndNote&gt;&lt;Cite AuthorYear="1"&gt;&lt;Author&gt;López-Villavicencio&lt;/Author&gt;&lt;Year&gt;2017&lt;/Year&gt;&lt;RecNum&gt;25&lt;/RecNum&gt;&lt;DisplayText&gt;López-Villavicencio and Mignon [4]&lt;/DisplayText&gt;&lt;record&gt;&lt;rec-number&gt;25&lt;/rec-number&gt;&lt;foreign-keys&gt;&lt;key app="EN" db-id="w02dva9072e097ez0eov2pwr9fvdzpzav5te"&gt;25&lt;/key&gt;&lt;/foreign-keys&gt;&lt;ref-type name="Journal Article"&gt;17&lt;/ref-type&gt;&lt;contributors&gt;&lt;authors&gt;&lt;author&gt;López-Villavicencio, Antonia&lt;/author&gt;&lt;author&gt;Mignon, Valerie&lt;/author&gt;&lt;/authors&gt;&lt;/contributors&gt;&lt;titles&gt;&lt;title&gt;Exchange rate pass-through in emerging countries: Do the inflation environment, monetary policy regime and central bank behavior matter?&lt;/title&gt;&lt;secondary-title&gt;Journal of International Money and Finance&lt;/secondary-title&gt;&lt;/titles&gt;&lt;pages&gt;20-38&lt;/pages&gt;&lt;volume&gt;79&lt;/volume&gt;&lt;dates&gt;&lt;year&gt;2017&lt;/year&gt;&lt;/dates&gt;&lt;isbn&gt;0261-5606&lt;/isbn&gt;&lt;urls&gt;&lt;/urls&gt;&lt;electronic-resource-num&gt;https://doi.org/10.1016/j.jimonfin.2017.09.004&lt;/electronic-resource-num&gt;&lt;/record&gt;&lt;/Cite&gt;&lt;/EndNote&gt;</w:instrText>
      </w:r>
      <w:r w:rsidR="00323A06">
        <w:rPr>
          <w:rFonts w:ascii="Times New Roman" w:hAnsi="Times New Roman" w:cs="Times New Roman"/>
          <w:color w:val="0000CC"/>
          <w:sz w:val="20"/>
          <w:szCs w:val="20"/>
        </w:rPr>
        <w:fldChar w:fldCharType="separate"/>
      </w:r>
      <w:hyperlink w:anchor="_ENREF_4" w:tooltip="López-Villavicencio, 2017 #25" w:history="1">
        <w:r w:rsidR="00AF2A4C">
          <w:rPr>
            <w:rFonts w:ascii="Times New Roman" w:hAnsi="Times New Roman" w:cs="Times New Roman"/>
            <w:noProof/>
            <w:color w:val="0000CC"/>
            <w:sz w:val="20"/>
            <w:szCs w:val="20"/>
          </w:rPr>
          <w:t>López-Villavicencio and Mignon [4</w:t>
        </w:r>
      </w:hyperlink>
      <w:r w:rsidR="00323A06">
        <w:rPr>
          <w:rFonts w:ascii="Times New Roman" w:hAnsi="Times New Roman" w:cs="Times New Roman"/>
          <w:noProof/>
          <w:color w:val="0000CC"/>
          <w:sz w:val="20"/>
          <w:szCs w:val="20"/>
        </w:rPr>
        <w:t>]</w:t>
      </w:r>
      <w:r w:rsidR="00323A06">
        <w:rPr>
          <w:rFonts w:ascii="Times New Roman" w:hAnsi="Times New Roman" w:cs="Times New Roman"/>
          <w:color w:val="0000CC"/>
          <w:sz w:val="20"/>
          <w:szCs w:val="20"/>
        </w:rPr>
        <w:fldChar w:fldCharType="end"/>
      </w:r>
      <w:r w:rsidR="001A3E56" w:rsidRPr="004B7B66">
        <w:rPr>
          <w:rFonts w:ascii="Times New Roman" w:hAnsi="Times New Roman" w:cs="Times New Roman"/>
          <w:sz w:val="20"/>
          <w:szCs w:val="20"/>
        </w:rPr>
        <w:t xml:space="preserve">. </w:t>
      </w:r>
      <w:r w:rsidR="00323A06" w:rsidRPr="00323A06">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AuthorYear="1"&gt;&lt;Author&gt;Adeoye&lt;/Author&gt;&lt;Year&gt;2014&lt;/Year&gt;&lt;RecNum&gt;2&lt;/RecNum&gt;&lt;DisplayText&gt;Adeoye and Saibu [5]&lt;/DisplayText&gt;&lt;record&gt;&lt;rec-number&gt;2&lt;/rec-number&gt;&lt;foreign-keys&gt;&lt;key app="EN" db-id="w02dva9072e097ez0eov2pwr9fvdzpzav5te"&gt;2&lt;/key&gt;&lt;/foreign-keys&gt;&lt;ref-type name="Journal Article"&gt;17&lt;/ref-type&gt;&lt;contributors&gt;&lt;authors&gt;&lt;author&gt;Adeoye, B. W.&lt;/author&gt;&lt;author&gt;Saibu, O. M.&lt;/author&gt;&lt;/authors&gt;&lt;/contributors&gt;&lt;titles&gt;&lt;title&gt;Monetary policy shocks and exchange rate volatility in Nigeria&lt;/title&gt;&lt;secondary-title&gt;Asian Economic and Financial Review&lt;/secondary-title&gt;&lt;/titles&gt;&lt;pages&gt;544-562&lt;/pages&gt;&lt;volume&gt;4&lt;/volume&gt;&lt;number&gt;4&lt;/number&gt;&lt;dates&gt;&lt;year&gt;2014&lt;/year&gt;&lt;/dates&gt;&lt;urls&gt;&lt;/urls&gt;&lt;/record&gt;&lt;/Cite&gt;&lt;/EndNote&gt;</w:instrText>
      </w:r>
      <w:r w:rsidR="00323A06" w:rsidRPr="00323A06">
        <w:rPr>
          <w:rFonts w:ascii="Times New Roman" w:hAnsi="Times New Roman" w:cs="Times New Roman"/>
          <w:color w:val="0000CC"/>
          <w:sz w:val="20"/>
          <w:szCs w:val="20"/>
          <w:shd w:val="clear" w:color="auto" w:fill="FFFFFF"/>
        </w:rPr>
        <w:fldChar w:fldCharType="separate"/>
      </w:r>
      <w:hyperlink w:anchor="_ENREF_5" w:tooltip="Adeoye, 2014 #2" w:history="1">
        <w:r w:rsidR="00AF2A4C">
          <w:rPr>
            <w:rFonts w:ascii="Times New Roman" w:hAnsi="Times New Roman" w:cs="Times New Roman"/>
            <w:noProof/>
            <w:color w:val="0000CC"/>
            <w:sz w:val="20"/>
            <w:szCs w:val="20"/>
            <w:shd w:val="clear" w:color="auto" w:fill="FFFFFF"/>
          </w:rPr>
          <w:t>Adeoye and Saibu [5</w:t>
        </w:r>
      </w:hyperlink>
      <w:r w:rsidR="00323A06">
        <w:rPr>
          <w:rFonts w:ascii="Times New Roman" w:hAnsi="Times New Roman" w:cs="Times New Roman"/>
          <w:noProof/>
          <w:color w:val="0000CC"/>
          <w:sz w:val="20"/>
          <w:szCs w:val="20"/>
          <w:shd w:val="clear" w:color="auto" w:fill="FFFFFF"/>
        </w:rPr>
        <w:t>]</w:t>
      </w:r>
      <w:r w:rsidR="00323A06" w:rsidRPr="00323A06">
        <w:rPr>
          <w:rFonts w:ascii="Times New Roman" w:hAnsi="Times New Roman" w:cs="Times New Roman"/>
          <w:color w:val="0000CC"/>
          <w:sz w:val="20"/>
          <w:szCs w:val="20"/>
          <w:shd w:val="clear" w:color="auto" w:fill="FFFFFF"/>
        </w:rPr>
        <w:fldChar w:fldCharType="end"/>
      </w:r>
      <w:r w:rsidR="001A3E56" w:rsidRPr="004B7B66">
        <w:rPr>
          <w:rFonts w:ascii="Times New Roman" w:hAnsi="Times New Roman" w:cs="Times New Roman"/>
          <w:sz w:val="20"/>
          <w:szCs w:val="20"/>
          <w:shd w:val="clear" w:color="auto" w:fill="FFFFFF"/>
        </w:rPr>
        <w:t xml:space="preserve"> stated that domestic currency volatility is among the major sources of macroeconomic stability in emerging markets. Furthermore, the instability of currency in developing countries, most likely against </w:t>
      </w:r>
      <w:r>
        <w:rPr>
          <w:rFonts w:ascii="Times New Roman" w:hAnsi="Times New Roman" w:cs="Times New Roman"/>
          <w:sz w:val="20"/>
          <w:szCs w:val="20"/>
          <w:shd w:val="clear" w:color="auto" w:fill="FFFFFF"/>
        </w:rPr>
        <w:t xml:space="preserve">the </w:t>
      </w:r>
      <w:r w:rsidR="001A3E56" w:rsidRPr="004B7B66">
        <w:rPr>
          <w:rFonts w:ascii="Times New Roman" w:hAnsi="Times New Roman" w:cs="Times New Roman"/>
          <w:sz w:val="20"/>
          <w:szCs w:val="20"/>
          <w:shd w:val="clear" w:color="auto" w:fill="FFFFFF"/>
        </w:rPr>
        <w:t>United State</w:t>
      </w:r>
      <w:r>
        <w:rPr>
          <w:rFonts w:ascii="Times New Roman" w:hAnsi="Times New Roman" w:cs="Times New Roman"/>
          <w:sz w:val="20"/>
          <w:szCs w:val="20"/>
          <w:shd w:val="clear" w:color="auto" w:fill="FFFFFF"/>
        </w:rPr>
        <w:t>s</w:t>
      </w:r>
      <w:r w:rsidR="001A3E56" w:rsidRPr="004B7B66">
        <w:rPr>
          <w:rFonts w:ascii="Times New Roman" w:hAnsi="Times New Roman" w:cs="Times New Roman"/>
          <w:sz w:val="20"/>
          <w:szCs w:val="20"/>
          <w:shd w:val="clear" w:color="auto" w:fill="FFFFFF"/>
        </w:rPr>
        <w:t xml:space="preserve"> Dollar, has been reported to have a negative impact on economic fundamentals such as investment, consumption, and foreign trade </w:t>
      </w:r>
      <w:r w:rsidR="00323A06" w:rsidRPr="00323A06">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&lt;EndNote&gt;&lt;Cite&gt;&lt;Author&gt;Sanusi&lt;/Author&gt;&lt;Year&gt;2020&lt;/Year&gt;&lt;RecNum&gt;33&lt;/RecNum&gt;&lt;DisplayText&gt;[6]&lt;/DisplayText&gt;&lt;record&gt;&lt;rec-number&gt;33&lt;/rec-number&gt;&lt;foreign-keys&gt;&lt;key app="EN" db-id="w02dva9072e097ez0eov2pwr9fvdzpzav5te"&gt;33&lt;/key&gt;&lt;/foreign-keys&gt;&lt;ref-type name="Journal Article"&gt;17&lt;/ref-type&gt;&lt;contributors&gt;&lt;authors&gt;&lt;author&gt;Sanusi, Kazeem Abimbola&lt;/author&gt;&lt;/authors&gt;&lt;/contributors&gt;&lt;titles&gt;&lt;title&gt;Oil prices asymmetric and exchange rate volatility: Case of oil-exporting emerging countries&lt;/title&gt;&lt;secondary-title&gt;Journal of International Studies&lt;/secondary-title&gt;&lt;/titles&gt;&lt;pages&gt;101-109&lt;/pages&gt;&lt;volume&gt;13&lt;/volume&gt;&lt;number&gt;4&lt;/number&gt;&lt;dates&gt;&lt;year&gt;2020&lt;/year&gt;&lt;/dates&gt;&lt;isbn&gt;2071-8330&lt;/isbn&gt;&lt;urls&gt;&lt;/urls&gt;&lt;electronic-resource-num&gt;https://doi.org/10.14254/2071-8330.2020/13-4/7&lt;/electronic-resource-num&gt;&lt;/record&gt;&lt;/Cite&gt;&lt;/EndNote&gt;</w:instrText>
      </w:r>
      <w:r w:rsidR="00323A06" w:rsidRPr="00323A06">
        <w:rPr>
          <w:rFonts w:ascii="Times New Roman" w:hAnsi="Times New Roman" w:cs="Times New Roman"/>
          <w:color w:val="0000CC"/>
          <w:sz w:val="20"/>
          <w:szCs w:val="20"/>
          <w:shd w:val="clear" w:color="auto" w:fill="FFFFFF"/>
        </w:rPr>
        <w:fldChar w:fldCharType="separate"/>
      </w:r>
      <w:r w:rsidR="00323A06" w:rsidRPr="00323A06">
        <w:rPr>
          <w:rFonts w:ascii="Times New Roman" w:hAnsi="Times New Roman" w:cs="Times New Roman"/>
          <w:noProof/>
          <w:color w:val="0000CC"/>
          <w:sz w:val="20"/>
          <w:szCs w:val="20"/>
          <w:shd w:val="clear" w:color="auto" w:fill="FFFFFF"/>
        </w:rPr>
        <w:t>[</w:t>
      </w:r>
      <w:hyperlink w:anchor="_ENREF_6" w:tooltip="Sanusi, 2020 #33" w:history="1">
        <w:r w:rsidR="00AF2A4C" w:rsidRPr="00323A06">
          <w:rPr>
            <w:rFonts w:ascii="Times New Roman" w:hAnsi="Times New Roman" w:cs="Times New Roman"/>
            <w:noProof/>
            <w:color w:val="0000CC"/>
            <w:sz w:val="20"/>
            <w:szCs w:val="20"/>
            <w:shd w:val="clear" w:color="auto" w:fill="FFFFFF"/>
          </w:rPr>
          <w:t>6</w:t>
        </w:r>
      </w:hyperlink>
      <w:r w:rsidR="00323A06" w:rsidRPr="00323A06">
        <w:rPr>
          <w:rFonts w:ascii="Times New Roman" w:hAnsi="Times New Roman" w:cs="Times New Roman"/>
          <w:noProof/>
          <w:color w:val="0000CC"/>
          <w:sz w:val="20"/>
          <w:szCs w:val="20"/>
          <w:shd w:val="clear" w:color="auto" w:fill="FFFFFF"/>
        </w:rPr>
        <w:t>]</w:t>
      </w:r>
      <w:r w:rsidR="00323A06" w:rsidRPr="00323A06">
        <w:rPr>
          <w:rFonts w:ascii="Times New Roman" w:hAnsi="Times New Roman" w:cs="Times New Roman"/>
          <w:color w:val="0000CC"/>
          <w:sz w:val="20"/>
          <w:szCs w:val="20"/>
          <w:shd w:val="clear" w:color="auto" w:fill="FFFFFF"/>
        </w:rPr>
        <w:fldChar w:fldCharType="end"/>
      </w:r>
      <w:r w:rsidR="001A3E56" w:rsidRPr="004B7B66">
        <w:rPr>
          <w:rFonts w:ascii="Times New Roman" w:hAnsi="Times New Roman" w:cs="Times New Roman"/>
          <w:sz w:val="20"/>
          <w:szCs w:val="20"/>
          <w:shd w:val="clear" w:color="auto" w:fill="FFFFFF"/>
        </w:rPr>
        <w:t>.</w:t>
      </w:r>
      <w:r w:rsidR="001A3E56" w:rsidRPr="004B7B66">
        <w:rPr>
          <w:rFonts w:ascii="Times New Roman" w:hAnsi="Times New Roman" w:cs="Times New Roman"/>
          <w:sz w:val="20"/>
          <w:szCs w:val="20"/>
        </w:rPr>
        <w:t xml:space="preserve">  However, </w:t>
      </w:r>
      <w:r>
        <w:rPr>
          <w:rFonts w:ascii="Times New Roman" w:hAnsi="Times New Roman" w:cs="Times New Roman"/>
          <w:sz w:val="20"/>
          <w:szCs w:val="20"/>
        </w:rPr>
        <w:t>the C</w:t>
      </w:r>
      <w:r w:rsidR="001A3E56" w:rsidRPr="004B7B66">
        <w:rPr>
          <w:rFonts w:ascii="Times New Roman" w:hAnsi="Times New Roman" w:cs="Times New Roman"/>
          <w:sz w:val="20"/>
          <w:szCs w:val="20"/>
        </w:rPr>
        <w:t xml:space="preserve">entral </w:t>
      </w:r>
      <w:r>
        <w:rPr>
          <w:rFonts w:ascii="Times New Roman" w:hAnsi="Times New Roman" w:cs="Times New Roman"/>
          <w:sz w:val="20"/>
          <w:szCs w:val="20"/>
        </w:rPr>
        <w:t>B</w:t>
      </w:r>
      <w:r w:rsidR="001A3E56" w:rsidRPr="004B7B66">
        <w:rPr>
          <w:rFonts w:ascii="Times New Roman" w:hAnsi="Times New Roman" w:cs="Times New Roman"/>
          <w:sz w:val="20"/>
          <w:szCs w:val="20"/>
        </w:rPr>
        <w:t xml:space="preserve">ank can maintain the exchange rate stability through its reserve by selling the foreign currency when the domestic currency depreciates deeply, and vice versa </w:t>
      </w:r>
      <w:r w:rsidR="00323A06" w:rsidRPr="00323A06">
        <w:rPr>
          <w:rFonts w:ascii="Times New Roman" w:hAnsi="Times New Roman" w:cs="Times New Roman"/>
          <w:color w:val="0000CC"/>
          <w:sz w:val="20"/>
          <w:szCs w:val="20"/>
        </w:rPr>
        <w:fldChar w:fldCharType="begin"/>
      </w:r>
      <w:r w:rsidR="00AF2A4C">
        <w:rPr>
          <w:rFonts w:ascii="Times New Roman" w:hAnsi="Times New Roman" w:cs="Times New Roman"/>
          <w:color w:val="0000CC"/>
          <w:sz w:val="20"/>
          <w:szCs w:val="20"/>
        </w:rPr>
        <w:instrText xml:space="preserve"> ADDIN EN.CITE &lt;EndNote&gt;&lt;Cite&gt;&lt;Author&gt;Albagli&lt;/Author&gt;&lt;Year&gt;2019&lt;/Year&gt;&lt;RecNum&gt;3&lt;/RecNum&gt;&lt;DisplayText&gt;[7]&lt;/DisplayText&gt;&lt;record&gt;&lt;rec-number&gt;3&lt;/rec-number&gt;&lt;foreign-keys&gt;&lt;key app="EN" db-id="w02dva9072e097ez0eov2pwr9fvdzpzav5te"&gt;3&lt;/key&gt;&lt;/foreign-keys&gt;&lt;ref-type name="Journal Article"&gt;17&lt;/ref-type&gt;&lt;contributors&gt;&lt;authors&gt;&lt;author&gt;Albagli, Elias&lt;/author&gt;&lt;author&gt;Ceballos, Luis&lt;/author&gt;&lt;author&gt;Claro, Sebastian&lt;/author&gt;&lt;author&gt;Romero, Damian&lt;/author&gt;&lt;/authors&gt;&lt;/contributors&gt;&lt;titles&gt;&lt;title&gt;Channels of US monetary policy spillovers to international bond markets&lt;/title&gt;&lt;secondary-title&gt;Journal of Financial Economics&lt;/secondary-title&gt;&lt;/titles&gt;&lt;pages&gt;447-473&lt;/pages&gt;&lt;volume&gt;134&lt;/volume&gt;&lt;number&gt;2&lt;/number&gt;&lt;dates&gt;&lt;year&gt;2019&lt;/year&gt;&lt;/dates&gt;&lt;isbn&gt;0304-405X&lt;/isbn&gt;&lt;urls&gt;&lt;/urls&gt;&lt;electronic-resource-num&gt;https://doi.org/10.1016/j.jfineco.2019.04.007&lt;/electronic-resource-num&gt;&lt;/record&gt;&lt;/Cite&gt;&lt;/EndNote&gt;</w:instrText>
      </w:r>
      <w:r w:rsidR="00323A06" w:rsidRPr="00323A06">
        <w:rPr>
          <w:rFonts w:ascii="Times New Roman" w:hAnsi="Times New Roman" w:cs="Times New Roman"/>
          <w:color w:val="0000CC"/>
          <w:sz w:val="20"/>
          <w:szCs w:val="20"/>
        </w:rPr>
        <w:fldChar w:fldCharType="separate"/>
      </w:r>
      <w:r w:rsidR="00323A06">
        <w:rPr>
          <w:rFonts w:ascii="Times New Roman" w:hAnsi="Times New Roman" w:cs="Times New Roman"/>
          <w:noProof/>
          <w:color w:val="0000CC"/>
          <w:sz w:val="20"/>
          <w:szCs w:val="20"/>
        </w:rPr>
        <w:t>[</w:t>
      </w:r>
      <w:hyperlink w:anchor="_ENREF_7" w:tooltip="Albagli, 2019 #3" w:history="1">
        <w:r w:rsidR="00AF2A4C">
          <w:rPr>
            <w:rFonts w:ascii="Times New Roman" w:hAnsi="Times New Roman" w:cs="Times New Roman"/>
            <w:noProof/>
            <w:color w:val="0000CC"/>
            <w:sz w:val="20"/>
            <w:szCs w:val="20"/>
          </w:rPr>
          <w:t>7</w:t>
        </w:r>
      </w:hyperlink>
      <w:r w:rsidR="00323A06">
        <w:rPr>
          <w:rFonts w:ascii="Times New Roman" w:hAnsi="Times New Roman" w:cs="Times New Roman"/>
          <w:noProof/>
          <w:color w:val="0000CC"/>
          <w:sz w:val="20"/>
          <w:szCs w:val="20"/>
        </w:rPr>
        <w:t>]</w:t>
      </w:r>
      <w:r w:rsidR="00323A06" w:rsidRPr="00323A06">
        <w:rPr>
          <w:rFonts w:ascii="Times New Roman" w:hAnsi="Times New Roman" w:cs="Times New Roman"/>
          <w:color w:val="0000CC"/>
          <w:sz w:val="20"/>
          <w:szCs w:val="20"/>
        </w:rPr>
        <w:fldChar w:fldCharType="end"/>
      </w:r>
      <w:r w:rsidR="001A3E56" w:rsidRPr="004B7B66">
        <w:rPr>
          <w:rFonts w:ascii="Times New Roman" w:hAnsi="Times New Roman" w:cs="Times New Roman"/>
          <w:sz w:val="20"/>
          <w:szCs w:val="20"/>
        </w:rPr>
        <w:t xml:space="preserve">. </w:t>
      </w:r>
    </w:p>
    <w:p w14:paraId="1367E62B" w14:textId="2A961C97" w:rsidR="001A3E56" w:rsidRPr="004B7B66" w:rsidRDefault="00ED3312" w:rsidP="00293371">
      <w:pPr>
        <w:spacing w:after="0" w:line="240" w:lineRule="auto"/>
        <w:ind w:firstLine="360"/>
        <w:jc w:val="both"/>
        <w:rPr>
          <w:rFonts w:ascii="Times New Roman" w:hAnsi="Times New Roman" w:cs="Times New Roman"/>
          <w:sz w:val="20"/>
          <w:szCs w:val="20"/>
        </w:rPr>
      </w:pPr>
      <w:r>
        <w:rPr>
          <w:rFonts w:ascii="Times New Roman" w:hAnsi="Times New Roman" w:cs="Times New Roman"/>
          <w:sz w:val="20"/>
          <w:szCs w:val="20"/>
        </w:rPr>
        <w:lastRenderedPageBreak/>
        <w:t>The e</w:t>
      </w:r>
      <w:r w:rsidR="001A3E56" w:rsidRPr="004B7B66">
        <w:rPr>
          <w:rFonts w:ascii="Times New Roman" w:hAnsi="Times New Roman" w:cs="Times New Roman"/>
          <w:sz w:val="20"/>
          <w:szCs w:val="20"/>
        </w:rPr>
        <w:t>xchange rate has a crucial role in the development of an economic activity, particularly in term</w:t>
      </w:r>
      <w:r>
        <w:rPr>
          <w:rFonts w:ascii="Times New Roman" w:hAnsi="Times New Roman" w:cs="Times New Roman"/>
          <w:sz w:val="20"/>
          <w:szCs w:val="20"/>
        </w:rPr>
        <w:t>s</w:t>
      </w:r>
      <w:r w:rsidR="001A3E56" w:rsidRPr="004B7B66">
        <w:rPr>
          <w:rFonts w:ascii="Times New Roman" w:hAnsi="Times New Roman" w:cs="Times New Roman"/>
          <w:sz w:val="20"/>
          <w:szCs w:val="20"/>
        </w:rPr>
        <w:t xml:space="preserve"> of international trade and capital flows for small open economies </w:t>
      </w:r>
      <w:r w:rsidR="00323A06" w:rsidRPr="00323A06">
        <w:rPr>
          <w:rFonts w:ascii="Times New Roman" w:hAnsi="Times New Roman" w:cs="Times New Roman"/>
          <w:color w:val="0000CC"/>
          <w:sz w:val="20"/>
          <w:szCs w:val="20"/>
        </w:rPr>
        <w:fldChar w:fldCharType="begin"/>
      </w:r>
      <w:r w:rsidR="00AF2A4C">
        <w:rPr>
          <w:rFonts w:ascii="Times New Roman" w:hAnsi="Times New Roman" w:cs="Times New Roman"/>
          <w:color w:val="0000CC"/>
          <w:sz w:val="20"/>
          <w:szCs w:val="20"/>
        </w:rPr>
        <w:instrText xml:space="preserve"> ADDIN EN.CITE &lt;EndNote&gt;&lt;Cite&gt;&lt;Author&gt;Abdul-Rahaman&lt;/Author&gt;&lt;Year&gt;2019&lt;/Year&gt;&lt;RecNum&gt;1&lt;/RecNum&gt;&lt;DisplayText&gt;[8, 9]&lt;/DisplayText&gt;&lt;record&gt;&lt;rec-number&gt;1&lt;/rec-number&gt;&lt;foreign-keys&gt;&lt;key app="EN" db-id="w02dva9072e097ez0eov2pwr9fvdzpzav5te"&gt;1&lt;/key&gt;&lt;/foreign-keys&gt;&lt;ref-type name="Journal Article"&gt;17&lt;/ref-type&gt;&lt;contributors&gt;&lt;authors&gt;&lt;author&gt;Abdul-Rahaman, Abdul-Rashid&lt;/author&gt;&lt;author&gt;Yao, Hongxing&lt;/author&gt;&lt;/authors&gt;&lt;/contributors&gt;&lt;titles&gt;&lt;title&gt;Reserves quantity and economic stability: The central bank of Ghana&amp;apos;s position and practices&lt;/title&gt;&lt;secondary-title&gt;Heliyon&lt;/secondary-title&gt;&lt;/titles&gt;&lt;pages&gt;e02856&lt;/pages&gt;&lt;volume&gt;5&lt;/volume&gt;&lt;number&gt;12&lt;/number&gt;&lt;dates&gt;&lt;year&gt;2019&lt;/year&gt;&lt;/dates&gt;&lt;isbn&gt;2405-8440&lt;/isbn&gt;&lt;urls&gt;&lt;/urls&gt;&lt;electronic-resource-num&gt;https://doi.org/10.1016/j.heliyon.2019.e02856&lt;/electronic-resource-num&gt;&lt;/record&gt;&lt;/Cite&gt;&lt;Cite&gt;&lt;Author&gt;Rajković&lt;/Author&gt;&lt;Year&gt;2020&lt;/Year&gt;&lt;RecNum&gt;30&lt;/RecNum&gt;&lt;record&gt;&lt;rec-number&gt;30&lt;/rec-number&gt;&lt;foreign-keys&gt;&lt;key app="EN" db-id="w02dva9072e097ez0eov2pwr9fvdzpzav5te"&gt;30&lt;/key&gt;&lt;/foreign-keys&gt;&lt;ref-type name="Journal Article"&gt;17&lt;/ref-type&gt;&lt;contributors&gt;&lt;authors&gt;&lt;author&gt;Rajković, Miloš&lt;/author&gt;&lt;author&gt;Bjelić, Predrag&lt;/author&gt;&lt;author&gt;Jaćimović, Danijela&lt;/author&gt;&lt;author&gt;Verbič, Miroslav&lt;/author&gt;&lt;/authors&gt;&lt;/contributors&gt;&lt;titles&gt;&lt;title&gt;The impact of the exchange rate on the foreign trade imbalance during the economic crisis in the new EU member states and the Western Balkan countries&lt;/title&gt;&lt;secondary-title&gt;Economic Research&lt;/secondary-title&gt;&lt;/titles&gt;&lt;pages&gt;182-203&lt;/pages&gt;&lt;volume&gt;33&lt;/volume&gt;&lt;number&gt;1&lt;/number&gt;&lt;dates&gt;&lt;year&gt;2020&lt;/year&gt;&lt;/dates&gt;&lt;isbn&gt;1331-677X&lt;/isbn&gt;&lt;urls&gt;&lt;/urls&gt;&lt;electronic-resource-num&gt;https://doi.org/10.1080/1331677x.2019.1708771&lt;/electronic-resource-num&gt;&lt;/record&gt;&lt;/Cite&gt;&lt;/EndNote&gt;</w:instrText>
      </w:r>
      <w:r w:rsidR="00323A06" w:rsidRPr="00323A06">
        <w:rPr>
          <w:rFonts w:ascii="Times New Roman" w:hAnsi="Times New Roman" w:cs="Times New Roman"/>
          <w:color w:val="0000CC"/>
          <w:sz w:val="20"/>
          <w:szCs w:val="20"/>
        </w:rPr>
        <w:fldChar w:fldCharType="separate"/>
      </w:r>
      <w:r w:rsidR="00323A06">
        <w:rPr>
          <w:rFonts w:ascii="Times New Roman" w:hAnsi="Times New Roman" w:cs="Times New Roman"/>
          <w:noProof/>
          <w:color w:val="0000CC"/>
          <w:sz w:val="20"/>
          <w:szCs w:val="20"/>
        </w:rPr>
        <w:t>[</w:t>
      </w:r>
      <w:hyperlink w:anchor="_ENREF_8" w:tooltip="Abdul-Rahaman, 2019 #1" w:history="1">
        <w:r w:rsidR="00AF2A4C">
          <w:rPr>
            <w:rFonts w:ascii="Times New Roman" w:hAnsi="Times New Roman" w:cs="Times New Roman"/>
            <w:noProof/>
            <w:color w:val="0000CC"/>
            <w:sz w:val="20"/>
            <w:szCs w:val="20"/>
          </w:rPr>
          <w:t>8</w:t>
        </w:r>
      </w:hyperlink>
      <w:r w:rsidR="00323A06">
        <w:rPr>
          <w:rFonts w:ascii="Times New Roman" w:hAnsi="Times New Roman" w:cs="Times New Roman"/>
          <w:noProof/>
          <w:color w:val="0000CC"/>
          <w:sz w:val="20"/>
          <w:szCs w:val="20"/>
        </w:rPr>
        <w:t xml:space="preserve">, </w:t>
      </w:r>
      <w:hyperlink w:anchor="_ENREF_9" w:tooltip="Rajković, 2020 #30" w:history="1">
        <w:r w:rsidR="00AF2A4C">
          <w:rPr>
            <w:rFonts w:ascii="Times New Roman" w:hAnsi="Times New Roman" w:cs="Times New Roman"/>
            <w:noProof/>
            <w:color w:val="0000CC"/>
            <w:sz w:val="20"/>
            <w:szCs w:val="20"/>
          </w:rPr>
          <w:t>9</w:t>
        </w:r>
      </w:hyperlink>
      <w:r w:rsidR="00323A06">
        <w:rPr>
          <w:rFonts w:ascii="Times New Roman" w:hAnsi="Times New Roman" w:cs="Times New Roman"/>
          <w:noProof/>
          <w:color w:val="0000CC"/>
          <w:sz w:val="20"/>
          <w:szCs w:val="20"/>
        </w:rPr>
        <w:t>]</w:t>
      </w:r>
      <w:r w:rsidR="00323A06" w:rsidRPr="00323A06">
        <w:rPr>
          <w:rFonts w:ascii="Times New Roman" w:hAnsi="Times New Roman" w:cs="Times New Roman"/>
          <w:color w:val="0000CC"/>
          <w:sz w:val="20"/>
          <w:szCs w:val="20"/>
        </w:rPr>
        <w:fldChar w:fldCharType="end"/>
      </w:r>
      <w:r w:rsidR="001A3E56" w:rsidRPr="004B7B66">
        <w:rPr>
          <w:rFonts w:ascii="Times New Roman" w:hAnsi="Times New Roman" w:cs="Times New Roman"/>
          <w:sz w:val="20"/>
          <w:szCs w:val="20"/>
        </w:rPr>
        <w:t xml:space="preserve">. Therefore, </w:t>
      </w:r>
      <w:r>
        <w:rPr>
          <w:rFonts w:ascii="Times New Roman" w:hAnsi="Times New Roman" w:cs="Times New Roman"/>
          <w:sz w:val="20"/>
          <w:szCs w:val="20"/>
        </w:rPr>
        <w:t>the C</w:t>
      </w:r>
      <w:r w:rsidR="001A3E56" w:rsidRPr="004B7B66">
        <w:rPr>
          <w:rFonts w:ascii="Times New Roman" w:hAnsi="Times New Roman" w:cs="Times New Roman"/>
          <w:sz w:val="20"/>
          <w:szCs w:val="20"/>
        </w:rPr>
        <w:t xml:space="preserve">entral </w:t>
      </w:r>
      <w:r>
        <w:rPr>
          <w:rFonts w:ascii="Times New Roman" w:hAnsi="Times New Roman" w:cs="Times New Roman"/>
          <w:sz w:val="20"/>
          <w:szCs w:val="20"/>
        </w:rPr>
        <w:t>B</w:t>
      </w:r>
      <w:r w:rsidR="001A3E56" w:rsidRPr="004B7B66">
        <w:rPr>
          <w:rFonts w:ascii="Times New Roman" w:hAnsi="Times New Roman" w:cs="Times New Roman"/>
          <w:sz w:val="20"/>
          <w:szCs w:val="20"/>
        </w:rPr>
        <w:t xml:space="preserve">ank in developing countries actively uses monetary policy to </w:t>
      </w:r>
      <w:proofErr w:type="spellStart"/>
      <w:r w:rsidR="001A3E56" w:rsidRPr="004B7B66">
        <w:rPr>
          <w:rFonts w:ascii="Times New Roman" w:hAnsi="Times New Roman" w:cs="Times New Roman"/>
          <w:sz w:val="20"/>
          <w:szCs w:val="20"/>
        </w:rPr>
        <w:t>stabilise</w:t>
      </w:r>
      <w:proofErr w:type="spellEnd"/>
      <w:r w:rsidR="001A3E56" w:rsidRPr="004B7B66">
        <w:rPr>
          <w:rFonts w:ascii="Times New Roman" w:hAnsi="Times New Roman" w:cs="Times New Roman"/>
          <w:sz w:val="20"/>
          <w:szCs w:val="20"/>
        </w:rPr>
        <w:t xml:space="preserve"> </w:t>
      </w:r>
      <w:r>
        <w:rPr>
          <w:rFonts w:ascii="Times New Roman" w:hAnsi="Times New Roman" w:cs="Times New Roman"/>
          <w:sz w:val="20"/>
          <w:szCs w:val="20"/>
        </w:rPr>
        <w:t xml:space="preserve">the </w:t>
      </w:r>
      <w:r w:rsidR="001A3E56" w:rsidRPr="004B7B66">
        <w:rPr>
          <w:rFonts w:ascii="Times New Roman" w:hAnsi="Times New Roman" w:cs="Times New Roman"/>
          <w:sz w:val="20"/>
          <w:szCs w:val="20"/>
        </w:rPr>
        <w:t xml:space="preserve">exchange rate and avoid high volatility </w:t>
      </w:r>
      <w:r w:rsidR="007D2DBC" w:rsidRPr="007D2DBC">
        <w:rPr>
          <w:rFonts w:ascii="Times New Roman" w:hAnsi="Times New Roman" w:cs="Times New Roman"/>
          <w:color w:val="0000CC"/>
          <w:sz w:val="20"/>
          <w:szCs w:val="20"/>
        </w:rPr>
        <w:fldChar w:fldCharType="begin"/>
      </w:r>
      <w:r w:rsidR="00AF2A4C">
        <w:rPr>
          <w:rFonts w:ascii="Times New Roman" w:hAnsi="Times New Roman" w:cs="Times New Roman"/>
          <w:color w:val="0000CC"/>
          <w:sz w:val="20"/>
          <w:szCs w:val="20"/>
        </w:rPr>
        <w:instrText xml:space="preserve"> ADDIN EN.CITE &lt;EndNote&gt;&lt;Cite&gt;&lt;Author&gt;Syarifuddin&lt;/Author&gt;&lt;Year&gt;2014&lt;/Year&gt;&lt;RecNum&gt;35&lt;/RecNum&gt;&lt;DisplayText&gt;[10]&lt;/DisplayText&gt;&lt;record&gt;&lt;rec-number&gt;35&lt;/rec-number&gt;&lt;foreign-keys&gt;&lt;key app="EN" db-id="w02dva9072e097ez0eov2pwr9fvdzpzav5te"&gt;35&lt;/key&gt;&lt;/foreign-keys&gt;&lt;ref-type name="Journal Article"&gt;17&lt;/ref-type&gt;&lt;contributors&gt;&lt;authors&gt;&lt;author&gt;Syarifuddin, Ferry&lt;/author&gt;&lt;author&gt;Achsani, Noer Azam&lt;/author&gt;&lt;author&gt;Hakim, Dedi Budiman&lt;/author&gt;&lt;author&gt;Bakhtiar, Toni&lt;/author&gt;&lt;/authors&gt;&lt;/contributors&gt;&lt;titles&gt;&lt;title&gt;Monetary policy response on exchange rate volatility in Indonesia&lt;/title&gt;&lt;secondary-title&gt;Journal of Contemporary Economic and Business Issues&lt;/secondary-title&gt;&lt;/titles&gt;&lt;pages&gt;35-54&lt;/pages&gt;&lt;volume&gt;1&lt;/volume&gt;&lt;number&gt;2&lt;/number&gt;&lt;dates&gt;&lt;year&gt;2014&lt;/year&gt;&lt;/dates&gt;&lt;isbn&gt;1857-9108&lt;/isbn&gt;&lt;urls&gt;&lt;/urls&gt;&lt;/record&gt;&lt;/Cite&gt;&lt;/EndNote&gt;</w:instrText>
      </w:r>
      <w:r w:rsidR="007D2DBC" w:rsidRPr="007D2DBC">
        <w:rPr>
          <w:rFonts w:ascii="Times New Roman" w:hAnsi="Times New Roman" w:cs="Times New Roman"/>
          <w:color w:val="0000CC"/>
          <w:sz w:val="20"/>
          <w:szCs w:val="20"/>
        </w:rPr>
        <w:fldChar w:fldCharType="separate"/>
      </w:r>
      <w:r w:rsidR="007D2DBC" w:rsidRPr="007D2DBC">
        <w:rPr>
          <w:rFonts w:ascii="Times New Roman" w:hAnsi="Times New Roman" w:cs="Times New Roman"/>
          <w:noProof/>
          <w:color w:val="0000CC"/>
          <w:sz w:val="20"/>
          <w:szCs w:val="20"/>
        </w:rPr>
        <w:t>[</w:t>
      </w:r>
      <w:hyperlink w:anchor="_ENREF_10" w:tooltip="Syarifuddin, 2014 #35" w:history="1">
        <w:r w:rsidR="00AF2A4C" w:rsidRPr="007D2DBC">
          <w:rPr>
            <w:rFonts w:ascii="Times New Roman" w:hAnsi="Times New Roman" w:cs="Times New Roman"/>
            <w:noProof/>
            <w:color w:val="0000CC"/>
            <w:sz w:val="20"/>
            <w:szCs w:val="20"/>
          </w:rPr>
          <w:t>10</w:t>
        </w:r>
      </w:hyperlink>
      <w:r w:rsidR="007D2DBC" w:rsidRPr="007D2DBC">
        <w:rPr>
          <w:rFonts w:ascii="Times New Roman" w:hAnsi="Times New Roman" w:cs="Times New Roman"/>
          <w:noProof/>
          <w:color w:val="0000CC"/>
          <w:sz w:val="20"/>
          <w:szCs w:val="20"/>
        </w:rPr>
        <w:t>]</w:t>
      </w:r>
      <w:r w:rsidR="007D2DBC" w:rsidRPr="007D2DBC">
        <w:rPr>
          <w:rFonts w:ascii="Times New Roman" w:hAnsi="Times New Roman" w:cs="Times New Roman"/>
          <w:color w:val="0000CC"/>
          <w:sz w:val="20"/>
          <w:szCs w:val="20"/>
        </w:rPr>
        <w:fldChar w:fldCharType="end"/>
      </w:r>
      <w:r w:rsidR="001A3E56" w:rsidRPr="004B7B66">
        <w:rPr>
          <w:rFonts w:ascii="Times New Roman" w:hAnsi="Times New Roman" w:cs="Times New Roman"/>
          <w:sz w:val="20"/>
          <w:szCs w:val="20"/>
        </w:rPr>
        <w:t xml:space="preserve">. Exchange rate volatility is defined as large fluctuations around the balance value or short-term fluctuations around the exchange rate's long-term trends </w:t>
      </w:r>
      <w:r w:rsidR="00C11091" w:rsidRPr="00C11091">
        <w:rPr>
          <w:rFonts w:ascii="Times New Roman" w:hAnsi="Times New Roman" w:cs="Times New Roman"/>
          <w:color w:val="0000CC"/>
          <w:sz w:val="20"/>
          <w:szCs w:val="20"/>
        </w:rPr>
        <w:fldChar w:fldCharType="begin">
          <w:fldData xml:space="preserve">PEVuZE5vdGU+PENpdGU+PEF1dGhvcj5HaWFubmVsbGlzPC9BdXRob3I+PFllYXI+MjAxMTwvWWVh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</w:fldData>
        </w:fldChar>
      </w:r>
      <w:r w:rsidR="00AF2A4C">
        <w:rPr>
          <w:rFonts w:ascii="Times New Roman" w:hAnsi="Times New Roman" w:cs="Times New Roman"/>
          <w:color w:val="0000CC"/>
          <w:sz w:val="20"/>
          <w:szCs w:val="20"/>
        </w:rPr>
        <w:instrText xml:space="preserve"> ADDIN EN.CITE </w:instrText>
      </w:r>
      <w:r w:rsidR="00AF2A4C">
        <w:rPr>
          <w:rFonts w:ascii="Times New Roman" w:hAnsi="Times New Roman" w:cs="Times New Roman"/>
          <w:color w:val="0000CC"/>
          <w:sz w:val="20"/>
          <w:szCs w:val="20"/>
        </w:rPr>
        <w:fldChar w:fldCharType="begin">
          <w:fldData xml:space="preserve">PEVuZE5vdGU+PENpdGU+PEF1dGhvcj5HaWFubmVsbGlzPC9BdXRob3I+PFllYXI+MjAxMTwvWWVh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</w:fldData>
        </w:fldChar>
      </w:r>
      <w:r w:rsidR="00AF2A4C">
        <w:rPr>
          <w:rFonts w:ascii="Times New Roman" w:hAnsi="Times New Roman" w:cs="Times New Roman"/>
          <w:color w:val="0000CC"/>
          <w:sz w:val="20"/>
          <w:szCs w:val="20"/>
        </w:rPr>
        <w:instrText xml:space="preserve"> ADDIN EN.CITE.DATA </w:instrText>
      </w:r>
      <w:r w:rsidR="00AF2A4C">
        <w:rPr>
          <w:rFonts w:ascii="Times New Roman" w:hAnsi="Times New Roman" w:cs="Times New Roman"/>
          <w:color w:val="0000CC"/>
          <w:sz w:val="20"/>
          <w:szCs w:val="20"/>
        </w:rPr>
      </w:r>
      <w:r w:rsidR="00AF2A4C">
        <w:rPr>
          <w:rFonts w:ascii="Times New Roman" w:hAnsi="Times New Roman" w:cs="Times New Roman"/>
          <w:color w:val="0000CC"/>
          <w:sz w:val="20"/>
          <w:szCs w:val="20"/>
        </w:rPr>
        <w:fldChar w:fldCharType="end"/>
      </w:r>
      <w:r w:rsidR="00C11091" w:rsidRPr="00C11091">
        <w:rPr>
          <w:rFonts w:ascii="Times New Roman" w:hAnsi="Times New Roman" w:cs="Times New Roman"/>
          <w:color w:val="0000CC"/>
          <w:sz w:val="20"/>
          <w:szCs w:val="20"/>
        </w:rPr>
      </w:r>
      <w:r w:rsidR="00C11091" w:rsidRPr="00C11091">
        <w:rPr>
          <w:rFonts w:ascii="Times New Roman" w:hAnsi="Times New Roman" w:cs="Times New Roman"/>
          <w:color w:val="0000CC"/>
          <w:sz w:val="20"/>
          <w:szCs w:val="20"/>
        </w:rPr>
        <w:fldChar w:fldCharType="separate"/>
      </w:r>
      <w:r w:rsidR="007D2DBC">
        <w:rPr>
          <w:rFonts w:ascii="Times New Roman" w:hAnsi="Times New Roman" w:cs="Times New Roman"/>
          <w:noProof/>
          <w:color w:val="0000CC"/>
          <w:sz w:val="20"/>
          <w:szCs w:val="20"/>
        </w:rPr>
        <w:t>[</w:t>
      </w:r>
      <w:hyperlink w:anchor="_ENREF_11" w:tooltip="Giannellis, 2011 #15" w:history="1">
        <w:r w:rsidR="00AF2A4C">
          <w:rPr>
            <w:rFonts w:ascii="Times New Roman" w:hAnsi="Times New Roman" w:cs="Times New Roman"/>
            <w:noProof/>
            <w:color w:val="0000CC"/>
            <w:sz w:val="20"/>
            <w:szCs w:val="20"/>
          </w:rPr>
          <w:t>11-13</w:t>
        </w:r>
      </w:hyperlink>
      <w:r w:rsidR="007D2DBC">
        <w:rPr>
          <w:rFonts w:ascii="Times New Roman" w:hAnsi="Times New Roman" w:cs="Times New Roman"/>
          <w:noProof/>
          <w:color w:val="0000CC"/>
          <w:sz w:val="20"/>
          <w:szCs w:val="20"/>
        </w:rPr>
        <w:t>]</w:t>
      </w:r>
      <w:r w:rsidR="00C11091" w:rsidRPr="00C11091">
        <w:rPr>
          <w:rFonts w:ascii="Times New Roman" w:hAnsi="Times New Roman" w:cs="Times New Roman"/>
          <w:color w:val="0000CC"/>
          <w:sz w:val="20"/>
          <w:szCs w:val="20"/>
        </w:rPr>
        <w:fldChar w:fldCharType="end"/>
      </w:r>
      <w:r w:rsidR="001A3E56" w:rsidRPr="004B7B66">
        <w:rPr>
          <w:rFonts w:ascii="Times New Roman" w:hAnsi="Times New Roman" w:cs="Times New Roman"/>
          <w:sz w:val="20"/>
          <w:szCs w:val="20"/>
        </w:rPr>
        <w:t xml:space="preserve">. Also, exchange rate volatility is associated with unpredictability in the economy's relative prices. This means exchange rate stability is one of the most important factors that influence foreign investments, price stability, and economic growth </w:t>
      </w:r>
      <w:r w:rsidR="007D2DBC" w:rsidRPr="007D2DBC">
        <w:rPr>
          <w:rFonts w:ascii="Times New Roman" w:hAnsi="Times New Roman" w:cs="Times New Roman"/>
          <w:color w:val="0000CC"/>
          <w:sz w:val="20"/>
          <w:szCs w:val="20"/>
        </w:rPr>
        <w:fldChar w:fldCharType="begin">
          <w:fldData xml:space="preserve">PEVuZE5vdGU+PENpdGU+PEF1dGhvcj5IZWzDrXNlazwvQXV0aG9yPjxZZWFyPjIwMTk8L1llYXI+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</w:fldData>
        </w:fldChar>
      </w:r>
      <w:r w:rsidR="00AF2A4C">
        <w:rPr>
          <w:rFonts w:ascii="Times New Roman" w:hAnsi="Times New Roman" w:cs="Times New Roman"/>
          <w:color w:val="0000CC"/>
          <w:sz w:val="20"/>
          <w:szCs w:val="20"/>
        </w:rPr>
        <w:instrText xml:space="preserve"> ADDIN EN.CITE </w:instrText>
      </w:r>
      <w:r w:rsidR="00AF2A4C">
        <w:rPr>
          <w:rFonts w:ascii="Times New Roman" w:hAnsi="Times New Roman" w:cs="Times New Roman"/>
          <w:color w:val="0000CC"/>
          <w:sz w:val="20"/>
          <w:szCs w:val="20"/>
        </w:rPr>
        <w:fldChar w:fldCharType="begin">
          <w:fldData xml:space="preserve">PEVuZE5vdGU+PENpdGU+PEF1dGhvcj5IZWzDrXNlazwvQXV0aG9yPjxZZWFyPjIwMTk8L1llYXI+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</w:fldData>
        </w:fldChar>
      </w:r>
      <w:r w:rsidR="00AF2A4C">
        <w:rPr>
          <w:rFonts w:ascii="Times New Roman" w:hAnsi="Times New Roman" w:cs="Times New Roman"/>
          <w:color w:val="0000CC"/>
          <w:sz w:val="20"/>
          <w:szCs w:val="20"/>
        </w:rPr>
        <w:instrText xml:space="preserve"> ADDIN EN.CITE.DATA </w:instrText>
      </w:r>
      <w:r w:rsidR="00AF2A4C">
        <w:rPr>
          <w:rFonts w:ascii="Times New Roman" w:hAnsi="Times New Roman" w:cs="Times New Roman"/>
          <w:color w:val="0000CC"/>
          <w:sz w:val="20"/>
          <w:szCs w:val="20"/>
        </w:rPr>
      </w:r>
      <w:r w:rsidR="00AF2A4C">
        <w:rPr>
          <w:rFonts w:ascii="Times New Roman" w:hAnsi="Times New Roman" w:cs="Times New Roman"/>
          <w:color w:val="0000CC"/>
          <w:sz w:val="20"/>
          <w:szCs w:val="20"/>
        </w:rPr>
        <w:fldChar w:fldCharType="end"/>
      </w:r>
      <w:r w:rsidR="007D2DBC" w:rsidRPr="007D2DBC">
        <w:rPr>
          <w:rFonts w:ascii="Times New Roman" w:hAnsi="Times New Roman" w:cs="Times New Roman"/>
          <w:color w:val="0000CC"/>
          <w:sz w:val="20"/>
          <w:szCs w:val="20"/>
        </w:rPr>
      </w:r>
      <w:r w:rsidR="007D2DBC" w:rsidRPr="007D2DBC">
        <w:rPr>
          <w:rFonts w:ascii="Times New Roman" w:hAnsi="Times New Roman" w:cs="Times New Roman"/>
          <w:color w:val="0000CC"/>
          <w:sz w:val="20"/>
          <w:szCs w:val="20"/>
        </w:rPr>
        <w:fldChar w:fldCharType="separate"/>
      </w:r>
      <w:r w:rsidR="007D2DBC">
        <w:rPr>
          <w:rFonts w:ascii="Times New Roman" w:hAnsi="Times New Roman" w:cs="Times New Roman"/>
          <w:noProof/>
          <w:color w:val="0000CC"/>
          <w:sz w:val="20"/>
          <w:szCs w:val="20"/>
        </w:rPr>
        <w:t>[</w:t>
      </w:r>
      <w:hyperlink w:anchor="_ENREF_14" w:tooltip="Helísek, 2019 #19" w:history="1">
        <w:r w:rsidR="00AF2A4C">
          <w:rPr>
            <w:rFonts w:ascii="Times New Roman" w:hAnsi="Times New Roman" w:cs="Times New Roman"/>
            <w:noProof/>
            <w:color w:val="0000CC"/>
            <w:sz w:val="20"/>
            <w:szCs w:val="20"/>
          </w:rPr>
          <w:t>14-16</w:t>
        </w:r>
      </w:hyperlink>
      <w:r w:rsidR="007D2DBC">
        <w:rPr>
          <w:rFonts w:ascii="Times New Roman" w:hAnsi="Times New Roman" w:cs="Times New Roman"/>
          <w:noProof/>
          <w:color w:val="0000CC"/>
          <w:sz w:val="20"/>
          <w:szCs w:val="20"/>
        </w:rPr>
        <w:t>]</w:t>
      </w:r>
      <w:r w:rsidR="007D2DBC" w:rsidRPr="007D2DBC">
        <w:rPr>
          <w:rFonts w:ascii="Times New Roman" w:hAnsi="Times New Roman" w:cs="Times New Roman"/>
          <w:color w:val="0000CC"/>
          <w:sz w:val="20"/>
          <w:szCs w:val="20"/>
        </w:rPr>
        <w:fldChar w:fldCharType="end"/>
      </w:r>
      <w:r w:rsidR="001A3E56" w:rsidRPr="004B7B66">
        <w:rPr>
          <w:rFonts w:ascii="Times New Roman" w:hAnsi="Times New Roman" w:cs="Times New Roman"/>
          <w:sz w:val="20"/>
          <w:szCs w:val="20"/>
        </w:rPr>
        <w:t>.</w:t>
      </w:r>
    </w:p>
    <w:p w14:paraId="13F5CC80" w14:textId="62DA0CEE" w:rsidR="001A3E56" w:rsidRPr="004B7B66" w:rsidRDefault="001A3E56" w:rsidP="00293371">
      <w:pPr>
        <w:spacing w:after="0" w:line="240" w:lineRule="auto"/>
        <w:ind w:firstLine="360"/>
        <w:jc w:val="both"/>
        <w:rPr>
          <w:rFonts w:ascii="Times New Roman" w:hAnsi="Times New Roman" w:cs="Times New Roman"/>
          <w:sz w:val="20"/>
          <w:szCs w:val="20"/>
        </w:rPr>
      </w:pPr>
      <w:r w:rsidRPr="004B7B66">
        <w:rPr>
          <w:rFonts w:ascii="Times New Roman" w:hAnsi="Times New Roman" w:cs="Times New Roman"/>
          <w:sz w:val="20"/>
          <w:szCs w:val="20"/>
        </w:rPr>
        <w:t xml:space="preserve">Indonesia represents a unique example as a developing country to examine the relationship between </w:t>
      </w:r>
      <w:r w:rsidR="00ED3312">
        <w:rPr>
          <w:rFonts w:ascii="Times New Roman" w:hAnsi="Times New Roman" w:cs="Times New Roman"/>
          <w:sz w:val="20"/>
          <w:szCs w:val="20"/>
        </w:rPr>
        <w:t>the C</w:t>
      </w:r>
      <w:r w:rsidRPr="004B7B66">
        <w:rPr>
          <w:rFonts w:ascii="Times New Roman" w:hAnsi="Times New Roman" w:cs="Times New Roman"/>
          <w:sz w:val="20"/>
          <w:szCs w:val="20"/>
        </w:rPr>
        <w:t xml:space="preserve">entral </w:t>
      </w:r>
      <w:r w:rsidR="00ED3312">
        <w:rPr>
          <w:rFonts w:ascii="Times New Roman" w:hAnsi="Times New Roman" w:cs="Times New Roman"/>
          <w:sz w:val="20"/>
          <w:szCs w:val="20"/>
        </w:rPr>
        <w:t>B</w:t>
      </w:r>
      <w:r w:rsidRPr="004B7B66">
        <w:rPr>
          <w:rFonts w:ascii="Times New Roman" w:hAnsi="Times New Roman" w:cs="Times New Roman"/>
          <w:sz w:val="20"/>
          <w:szCs w:val="20"/>
        </w:rPr>
        <w:t>ank rate</w:t>
      </w:r>
      <w:r w:rsidR="00ED3312">
        <w:rPr>
          <w:rFonts w:ascii="Times New Roman" w:hAnsi="Times New Roman" w:cs="Times New Roman"/>
          <w:sz w:val="20"/>
          <w:szCs w:val="20"/>
        </w:rPr>
        <w:t>s</w:t>
      </w:r>
      <w:r w:rsidRPr="004B7B66">
        <w:rPr>
          <w:rFonts w:ascii="Times New Roman" w:hAnsi="Times New Roman" w:cs="Times New Roman"/>
          <w:sz w:val="20"/>
          <w:szCs w:val="20"/>
        </w:rPr>
        <w:t xml:space="preserve"> and exchange rate volatility for three reasons. First, Indonesia applied a different exchange rate regime since </w:t>
      </w:r>
      <w:r w:rsidR="00AC3E42">
        <w:rPr>
          <w:rFonts w:ascii="Times New Roman" w:hAnsi="Times New Roman" w:cs="Times New Roman"/>
          <w:sz w:val="20"/>
          <w:szCs w:val="20"/>
        </w:rPr>
        <w:t xml:space="preserve">the </w:t>
      </w:r>
      <w:r w:rsidRPr="004B7B66">
        <w:rPr>
          <w:rFonts w:ascii="Times New Roman" w:hAnsi="Times New Roman" w:cs="Times New Roman"/>
          <w:sz w:val="20"/>
          <w:szCs w:val="20"/>
        </w:rPr>
        <w:t xml:space="preserve">1990s. Prior to the Asian Financial Crisis </w:t>
      </w:r>
      <w:r w:rsidR="00C33BF0">
        <w:rPr>
          <w:rFonts w:ascii="Times New Roman" w:hAnsi="Times New Roman" w:cs="Times New Roman"/>
          <w:sz w:val="20"/>
          <w:szCs w:val="20"/>
        </w:rPr>
        <w:t xml:space="preserve">in </w:t>
      </w:r>
      <w:r w:rsidRPr="004B7B66">
        <w:rPr>
          <w:rFonts w:ascii="Times New Roman" w:hAnsi="Times New Roman" w:cs="Times New Roman"/>
          <w:sz w:val="20"/>
          <w:szCs w:val="20"/>
        </w:rPr>
        <w:t xml:space="preserve">1997, the country </w:t>
      </w:r>
      <w:r w:rsidR="00C87C9C">
        <w:rPr>
          <w:rFonts w:ascii="Times New Roman" w:hAnsi="Times New Roman" w:cs="Times New Roman"/>
          <w:sz w:val="20"/>
          <w:szCs w:val="20"/>
        </w:rPr>
        <w:t>ran</w:t>
      </w:r>
      <w:r w:rsidRPr="004B7B66">
        <w:rPr>
          <w:rFonts w:ascii="Times New Roman" w:hAnsi="Times New Roman" w:cs="Times New Roman"/>
          <w:sz w:val="20"/>
          <w:szCs w:val="20"/>
        </w:rPr>
        <w:t xml:space="preserve"> a fixed exchange rate system. In this system, </w:t>
      </w:r>
      <w:r w:rsidR="00BE2763">
        <w:rPr>
          <w:rFonts w:ascii="Times New Roman" w:hAnsi="Times New Roman" w:cs="Times New Roman"/>
          <w:sz w:val="20"/>
          <w:szCs w:val="20"/>
        </w:rPr>
        <w:t>the C</w:t>
      </w:r>
      <w:r w:rsidRPr="004B7B66">
        <w:rPr>
          <w:rFonts w:ascii="Times New Roman" w:hAnsi="Times New Roman" w:cs="Times New Roman"/>
          <w:sz w:val="20"/>
          <w:szCs w:val="20"/>
        </w:rPr>
        <w:t xml:space="preserve">entral </w:t>
      </w:r>
      <w:r w:rsidR="00BE2763">
        <w:rPr>
          <w:rFonts w:ascii="Times New Roman" w:hAnsi="Times New Roman" w:cs="Times New Roman"/>
          <w:sz w:val="20"/>
          <w:szCs w:val="20"/>
        </w:rPr>
        <w:t>B</w:t>
      </w:r>
      <w:r w:rsidRPr="004B7B66">
        <w:rPr>
          <w:rFonts w:ascii="Times New Roman" w:hAnsi="Times New Roman" w:cs="Times New Roman"/>
          <w:sz w:val="20"/>
          <w:szCs w:val="20"/>
        </w:rPr>
        <w:t xml:space="preserve">ank had full control of the monetary base </w:t>
      </w:r>
      <w:r w:rsidR="007D2DBC" w:rsidRPr="007D2DBC">
        <w:rPr>
          <w:rFonts w:ascii="Times New Roman" w:hAnsi="Times New Roman" w:cs="Times New Roman"/>
          <w:color w:val="0000CC"/>
          <w:sz w:val="20"/>
          <w:szCs w:val="20"/>
        </w:rPr>
        <w:fldChar w:fldCharType="begin">
          <w:fldData xml:space="preserve">PEVuZE5vdGU+PENpdGU+PEF1dGhvcj5SYWphbjwvQXV0aG9yPjxZZWFyPjIwMTI8L1llYXI+PFJl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</w:fldData>
        </w:fldChar>
      </w:r>
      <w:r w:rsidR="00AF2A4C">
        <w:rPr>
          <w:rFonts w:ascii="Times New Roman" w:hAnsi="Times New Roman" w:cs="Times New Roman"/>
          <w:color w:val="0000CC"/>
          <w:sz w:val="20"/>
          <w:szCs w:val="20"/>
        </w:rPr>
        <w:instrText xml:space="preserve"> ADDIN EN.CITE </w:instrText>
      </w:r>
      <w:r w:rsidR="00AF2A4C">
        <w:rPr>
          <w:rFonts w:ascii="Times New Roman" w:hAnsi="Times New Roman" w:cs="Times New Roman"/>
          <w:color w:val="0000CC"/>
          <w:sz w:val="20"/>
          <w:szCs w:val="20"/>
        </w:rPr>
        <w:fldChar w:fldCharType="begin">
          <w:fldData xml:space="preserve">PEVuZE5vdGU+PENpdGU+PEF1dGhvcj5SYWphbjwvQXV0aG9yPjxZZWFyPjIwMTI8L1llYXI+PFJl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</w:fldData>
        </w:fldChar>
      </w:r>
      <w:r w:rsidR="00AF2A4C">
        <w:rPr>
          <w:rFonts w:ascii="Times New Roman" w:hAnsi="Times New Roman" w:cs="Times New Roman"/>
          <w:color w:val="0000CC"/>
          <w:sz w:val="20"/>
          <w:szCs w:val="20"/>
        </w:rPr>
        <w:instrText xml:space="preserve"> ADDIN EN.CITE.DATA </w:instrText>
      </w:r>
      <w:r w:rsidR="00AF2A4C">
        <w:rPr>
          <w:rFonts w:ascii="Times New Roman" w:hAnsi="Times New Roman" w:cs="Times New Roman"/>
          <w:color w:val="0000CC"/>
          <w:sz w:val="20"/>
          <w:szCs w:val="20"/>
        </w:rPr>
      </w:r>
      <w:r w:rsidR="00AF2A4C">
        <w:rPr>
          <w:rFonts w:ascii="Times New Roman" w:hAnsi="Times New Roman" w:cs="Times New Roman"/>
          <w:color w:val="0000CC"/>
          <w:sz w:val="20"/>
          <w:szCs w:val="20"/>
        </w:rPr>
        <w:fldChar w:fldCharType="end"/>
      </w:r>
      <w:r w:rsidR="007D2DBC" w:rsidRPr="007D2DBC">
        <w:rPr>
          <w:rFonts w:ascii="Times New Roman" w:hAnsi="Times New Roman" w:cs="Times New Roman"/>
          <w:color w:val="0000CC"/>
          <w:sz w:val="20"/>
          <w:szCs w:val="20"/>
        </w:rPr>
      </w:r>
      <w:r w:rsidR="007D2DBC" w:rsidRPr="007D2DBC">
        <w:rPr>
          <w:rFonts w:ascii="Times New Roman" w:hAnsi="Times New Roman" w:cs="Times New Roman"/>
          <w:color w:val="0000CC"/>
          <w:sz w:val="20"/>
          <w:szCs w:val="20"/>
        </w:rPr>
        <w:fldChar w:fldCharType="separate"/>
      </w:r>
      <w:r w:rsidR="007D2DBC">
        <w:rPr>
          <w:rFonts w:ascii="Times New Roman" w:hAnsi="Times New Roman" w:cs="Times New Roman"/>
          <w:noProof/>
          <w:color w:val="0000CC"/>
          <w:sz w:val="20"/>
          <w:szCs w:val="20"/>
        </w:rPr>
        <w:t>[</w:t>
      </w:r>
      <w:hyperlink w:anchor="_ENREF_17" w:tooltip="Rajan, 2012 #29" w:history="1">
        <w:r w:rsidR="00AF2A4C">
          <w:rPr>
            <w:rFonts w:ascii="Times New Roman" w:hAnsi="Times New Roman" w:cs="Times New Roman"/>
            <w:noProof/>
            <w:color w:val="0000CC"/>
            <w:sz w:val="20"/>
            <w:szCs w:val="20"/>
          </w:rPr>
          <w:t>17-19</w:t>
        </w:r>
      </w:hyperlink>
      <w:r w:rsidR="007D2DBC">
        <w:rPr>
          <w:rFonts w:ascii="Times New Roman" w:hAnsi="Times New Roman" w:cs="Times New Roman"/>
          <w:noProof/>
          <w:color w:val="0000CC"/>
          <w:sz w:val="20"/>
          <w:szCs w:val="20"/>
        </w:rPr>
        <w:t>]</w:t>
      </w:r>
      <w:r w:rsidR="007D2DBC" w:rsidRPr="007D2DBC">
        <w:rPr>
          <w:rFonts w:ascii="Times New Roman" w:hAnsi="Times New Roman" w:cs="Times New Roman"/>
          <w:color w:val="0000CC"/>
          <w:sz w:val="20"/>
          <w:szCs w:val="20"/>
        </w:rPr>
        <w:fldChar w:fldCharType="end"/>
      </w:r>
      <w:r w:rsidRPr="004B7B66">
        <w:rPr>
          <w:rFonts w:ascii="Times New Roman" w:hAnsi="Times New Roman" w:cs="Times New Roman"/>
          <w:sz w:val="20"/>
          <w:szCs w:val="20"/>
        </w:rPr>
        <w:t>. However, since August 1997, Indonesia moved to a floating exchange rate regime in which the domestic currency is traded in the money market by following market mechanism</w:t>
      </w:r>
      <w:r w:rsidR="00FD594B">
        <w:rPr>
          <w:rFonts w:ascii="Times New Roman" w:hAnsi="Times New Roman" w:cs="Times New Roman"/>
          <w:sz w:val="20"/>
          <w:szCs w:val="20"/>
        </w:rPr>
        <w:t>s</w:t>
      </w:r>
      <w:r w:rsidRPr="004B7B66">
        <w:rPr>
          <w:rFonts w:ascii="Times New Roman" w:hAnsi="Times New Roman" w:cs="Times New Roman"/>
          <w:sz w:val="20"/>
          <w:szCs w:val="20"/>
        </w:rPr>
        <w:t xml:space="preserve">. This means the real currency is revealed based on market price without any government interference </w:t>
      </w:r>
      <w:r w:rsidR="007D2DBC" w:rsidRPr="007D2DBC">
        <w:rPr>
          <w:rFonts w:ascii="Times New Roman" w:hAnsi="Times New Roman" w:cs="Times New Roman"/>
          <w:color w:val="0000CC"/>
          <w:sz w:val="20"/>
          <w:szCs w:val="20"/>
        </w:rPr>
        <w:fldChar w:fldCharType="begin"/>
      </w:r>
      <w:r w:rsidR="00AF2A4C">
        <w:rPr>
          <w:rFonts w:ascii="Times New Roman" w:hAnsi="Times New Roman" w:cs="Times New Roman"/>
          <w:color w:val="0000CC"/>
          <w:sz w:val="20"/>
          <w:szCs w:val="20"/>
        </w:rPr>
        <w:instrText xml:space="preserve"> ADDIN EN.CITE &lt;EndNote&gt;&lt;Cite&gt;&lt;Author&gt;Ding&lt;/Author&gt;&lt;Year&gt;2020&lt;/Year&gt;&lt;RecNum&gt;11&lt;/RecNum&gt;&lt;DisplayText&gt;[20, 21]&lt;/DisplayText&gt;&lt;record&gt;&lt;rec-number&gt;11&lt;/rec-number&gt;&lt;foreign-keys&gt;&lt;key app="EN" db-id="w02dva9072e097ez0eov2pwr9fvdzpzav5te"&gt;11&lt;/key&gt;&lt;/foreign-keys&gt;&lt;ref-type name="Journal Article"&gt;17&lt;/ref-type&gt;&lt;contributors&gt;&lt;authors&gt;&lt;author&gt;Ding, Shuze&lt;/author&gt;&lt;author&gt;Puzzello, Daniela&lt;/author&gt;&lt;/authors&gt;&lt;/contributors&gt;&lt;titles&gt;&lt;title&gt;Legal restrictions and international currencies: An experimental approach&lt;/title&gt;&lt;secondary-title&gt;Journal of International Economics&lt;/secondary-title&gt;&lt;/titles&gt;&lt;pages&gt;103342&lt;/pages&gt;&lt;volume&gt;126&lt;/volume&gt;&lt;dates&gt;&lt;year&gt;2020&lt;/year&gt;&lt;/dates&gt;&lt;isbn&gt;0022-1996&lt;/isbn&gt;&lt;urls&gt;&lt;/urls&gt;&lt;electronic-resource-num&gt;https://doi.org/10.1016/j.jinteco.2020.103342&lt;/electronic-resource-num&gt;&lt;/record&gt;&lt;/Cite&gt;&lt;Cite&gt;&lt;Author&gt;Rohit&lt;/Author&gt;&lt;Year&gt;2019&lt;/Year&gt;&lt;RecNum&gt;31&lt;/RecNum&gt;&lt;record&gt;&lt;rec-number&gt;31&lt;/rec-number&gt;&lt;foreign-keys&gt;&lt;key app="EN" db-id="w02dva9072e097ez0eov2pwr9fvdzpzav5te"&gt;31&lt;/key&gt;&lt;/foreign-keys&gt;&lt;ref-type name="Journal Article"&gt;17&lt;/ref-type&gt;&lt;contributors&gt;&lt;authors&gt;&lt;author&gt;Rohit, Abhishek Kumar&lt;/author&gt;&lt;author&gt;Dash, Pradyumna&lt;/author&gt;&lt;/authors&gt;&lt;/contributors&gt;&lt;titles&gt;&lt;title&gt;Dynamics of monetary policy spillover: The role of exchange rate regimes&lt;/title&gt;&lt;secondary-title&gt;Economic Modelling&lt;/secondary-title&gt;&lt;/titles&gt;&lt;pages&gt;276-288&lt;/pages&gt;&lt;volume&gt;77&lt;/volume&gt;&lt;dates&gt;&lt;year&gt;2019&lt;/year&gt;&lt;/dates&gt;&lt;isbn&gt;0264-9993&lt;/isbn&gt;&lt;urls&gt;&lt;/urls&gt;&lt;electronic-resource-num&gt;https://doi.org/10.1016/j.econmod.2018.09.007&lt;/electronic-resource-num&gt;&lt;/record&gt;&lt;/Cite&gt;&lt;/EndNote&gt;</w:instrText>
      </w:r>
      <w:r w:rsidR="007D2DBC" w:rsidRPr="007D2DBC">
        <w:rPr>
          <w:rFonts w:ascii="Times New Roman" w:hAnsi="Times New Roman" w:cs="Times New Roman"/>
          <w:color w:val="0000CC"/>
          <w:sz w:val="20"/>
          <w:szCs w:val="20"/>
        </w:rPr>
        <w:fldChar w:fldCharType="separate"/>
      </w:r>
      <w:r w:rsidR="007D2DBC">
        <w:rPr>
          <w:rFonts w:ascii="Times New Roman" w:hAnsi="Times New Roman" w:cs="Times New Roman"/>
          <w:noProof/>
          <w:color w:val="0000CC"/>
          <w:sz w:val="20"/>
          <w:szCs w:val="20"/>
        </w:rPr>
        <w:t>[</w:t>
      </w:r>
      <w:hyperlink w:anchor="_ENREF_20" w:tooltip="Ding, 2020 #11" w:history="1">
        <w:r w:rsidR="00AF2A4C">
          <w:rPr>
            <w:rFonts w:ascii="Times New Roman" w:hAnsi="Times New Roman" w:cs="Times New Roman"/>
            <w:noProof/>
            <w:color w:val="0000CC"/>
            <w:sz w:val="20"/>
            <w:szCs w:val="20"/>
          </w:rPr>
          <w:t>20</w:t>
        </w:r>
      </w:hyperlink>
      <w:r w:rsidR="007D2DBC">
        <w:rPr>
          <w:rFonts w:ascii="Times New Roman" w:hAnsi="Times New Roman" w:cs="Times New Roman"/>
          <w:noProof/>
          <w:color w:val="0000CC"/>
          <w:sz w:val="20"/>
          <w:szCs w:val="20"/>
        </w:rPr>
        <w:t xml:space="preserve">, </w:t>
      </w:r>
      <w:hyperlink w:anchor="_ENREF_21" w:tooltip="Rohit, 2019 #31" w:history="1">
        <w:r w:rsidR="00AF2A4C">
          <w:rPr>
            <w:rFonts w:ascii="Times New Roman" w:hAnsi="Times New Roman" w:cs="Times New Roman"/>
            <w:noProof/>
            <w:color w:val="0000CC"/>
            <w:sz w:val="20"/>
            <w:szCs w:val="20"/>
          </w:rPr>
          <w:t>21</w:t>
        </w:r>
      </w:hyperlink>
      <w:r w:rsidR="007D2DBC">
        <w:rPr>
          <w:rFonts w:ascii="Times New Roman" w:hAnsi="Times New Roman" w:cs="Times New Roman"/>
          <w:noProof/>
          <w:color w:val="0000CC"/>
          <w:sz w:val="20"/>
          <w:szCs w:val="20"/>
        </w:rPr>
        <w:t>]</w:t>
      </w:r>
      <w:r w:rsidR="007D2DBC" w:rsidRPr="007D2DBC">
        <w:rPr>
          <w:rFonts w:ascii="Times New Roman" w:hAnsi="Times New Roman" w:cs="Times New Roman"/>
          <w:color w:val="0000CC"/>
          <w:sz w:val="20"/>
          <w:szCs w:val="20"/>
        </w:rPr>
        <w:fldChar w:fldCharType="end"/>
      </w:r>
      <w:r w:rsidRPr="004B7B66">
        <w:rPr>
          <w:rFonts w:ascii="Times New Roman" w:hAnsi="Times New Roman" w:cs="Times New Roman"/>
          <w:sz w:val="20"/>
          <w:szCs w:val="20"/>
        </w:rPr>
        <w:t xml:space="preserve"> and the exchange rate depends on demand and supply </w:t>
      </w:r>
      <w:r w:rsidR="007D2DBC" w:rsidRPr="007D2DBC">
        <w:rPr>
          <w:rFonts w:ascii="Times New Roman" w:hAnsi="Times New Roman" w:cs="Times New Roman"/>
          <w:color w:val="0000CC"/>
          <w:sz w:val="20"/>
          <w:szCs w:val="20"/>
        </w:rPr>
        <w:fldChar w:fldCharType="begin"/>
      </w:r>
      <w:r w:rsidR="00AF2A4C">
        <w:rPr>
          <w:rFonts w:ascii="Times New Roman" w:hAnsi="Times New Roman" w:cs="Times New Roman"/>
          <w:color w:val="0000CC"/>
          <w:sz w:val="20"/>
          <w:szCs w:val="20"/>
        </w:rPr>
        <w:instrText xml:space="preserve"> ADDIN EN.CITE &lt;EndNote&gt;&lt;Cite&gt;&lt;Author&gt;Devereux&lt;/Author&gt;&lt;Year&gt;2017&lt;/Year&gt;&lt;RecNum&gt;10&lt;/RecNum&gt;&lt;DisplayText&gt;[22, 23]&lt;/DisplayText&gt;&lt;record&gt;&lt;rec-number&gt;10&lt;/rec-number&gt;&lt;foreign-keys&gt;&lt;key app="EN" db-id="w02dva9072e097ez0eov2pwr9fvdzpzav5te"&gt;10&lt;/key&gt;&lt;/foreign-keys&gt;&lt;ref-type name="Journal Article"&gt;17&lt;/ref-type&gt;&lt;contributors&gt;&lt;authors&gt;&lt;author&gt;Devereux, Michael B&lt;/author&gt;&lt;author&gt;Dong, Wei&lt;/author&gt;&lt;author&gt;Tomlin, Ben&lt;/author&gt;&lt;/authors&gt;&lt;/contributors&gt;&lt;titles&gt;&lt;title&gt;Importers and exporters in exchange rate pass-through and currency invoicing&lt;/title&gt;&lt;secondary-title&gt;Journal of International Economics&lt;/secondary-title&gt;&lt;/titles&gt;&lt;pages&gt;187-204&lt;/pages&gt;&lt;volume&gt;105&lt;/volume&gt;&lt;dates&gt;&lt;year&gt;2017&lt;/year&gt;&lt;/dates&gt;&lt;isbn&gt;0022-1996&lt;/isbn&gt;&lt;urls&gt;&lt;/urls&gt;&lt;electronic-resource-num&gt;https://doi.org/10.1016/j.jinteco.2016.12.011&lt;/electronic-resource-num&gt;&lt;/record&gt;&lt;/Cite&gt;&lt;Cite&gt;&lt;Author&gt;Sugiharti&lt;/Author&gt;&lt;Year&gt;2020&lt;/Year&gt;&lt;RecNum&gt;34&lt;/RecNum&gt;&lt;record&gt;&lt;rec-number&gt;34&lt;/rec-number&gt;&lt;foreign-keys&gt;&lt;key app="EN" db-id="w02dva9072e097ez0eov2pwr9fvdzpzav5te"&gt;34&lt;/key&gt;&lt;/foreign-keys&gt;&lt;ref-type name="Journal Article"&gt;17&lt;/ref-type&gt;&lt;contributors&gt;&lt;authors&gt;&lt;author&gt;Sugiharti, Lilik&lt;/author&gt;&lt;author&gt;Esquivias, Miguel Angel&lt;/author&gt;&lt;author&gt;Setyorani, Bekti&lt;/author&gt;&lt;/authors&gt;&lt;/contributors&gt;&lt;titles&gt;&lt;title&gt;The impact of exchange rate volatility on Indonesia&amp;apos;s top exports to the five main export markets&lt;/title&gt;&lt;secondary-title&gt;Heliyon&lt;/secondary-title&gt;&lt;/titles&gt;&lt;pages&gt;e03141&lt;/pages&gt;&lt;volume&gt;6&lt;/volume&gt;&lt;number&gt;1&lt;/number&gt;&lt;dates&gt;&lt;year&gt;2020&lt;/year&gt;&lt;/dates&gt;&lt;isbn&gt;2405-8440&lt;/isbn&gt;&lt;urls&gt;&lt;/urls&gt;&lt;electronic-resource-num&gt;https://doi.org/10.1016/j.heliyon.2019.e03141&lt;/electronic-resource-num&gt;&lt;/record&gt;&lt;/Cite&gt;&lt;/EndNote&gt;</w:instrText>
      </w:r>
      <w:r w:rsidR="007D2DBC" w:rsidRPr="007D2DBC">
        <w:rPr>
          <w:rFonts w:ascii="Times New Roman" w:hAnsi="Times New Roman" w:cs="Times New Roman"/>
          <w:color w:val="0000CC"/>
          <w:sz w:val="20"/>
          <w:szCs w:val="20"/>
        </w:rPr>
        <w:fldChar w:fldCharType="separate"/>
      </w:r>
      <w:r w:rsidR="007D2DBC">
        <w:rPr>
          <w:rFonts w:ascii="Times New Roman" w:hAnsi="Times New Roman" w:cs="Times New Roman"/>
          <w:noProof/>
          <w:color w:val="0000CC"/>
          <w:sz w:val="20"/>
          <w:szCs w:val="20"/>
        </w:rPr>
        <w:t>[</w:t>
      </w:r>
      <w:hyperlink w:anchor="_ENREF_22" w:tooltip="Devereux, 2017 #10" w:history="1">
        <w:r w:rsidR="00AF2A4C">
          <w:rPr>
            <w:rFonts w:ascii="Times New Roman" w:hAnsi="Times New Roman" w:cs="Times New Roman"/>
            <w:noProof/>
            <w:color w:val="0000CC"/>
            <w:sz w:val="20"/>
            <w:szCs w:val="20"/>
          </w:rPr>
          <w:t>22</w:t>
        </w:r>
      </w:hyperlink>
      <w:r w:rsidR="007D2DBC">
        <w:rPr>
          <w:rFonts w:ascii="Times New Roman" w:hAnsi="Times New Roman" w:cs="Times New Roman"/>
          <w:noProof/>
          <w:color w:val="0000CC"/>
          <w:sz w:val="20"/>
          <w:szCs w:val="20"/>
        </w:rPr>
        <w:t xml:space="preserve">, </w:t>
      </w:r>
      <w:hyperlink w:anchor="_ENREF_23" w:tooltip="Sugiharti, 2020 #34" w:history="1">
        <w:r w:rsidR="00AF2A4C">
          <w:rPr>
            <w:rFonts w:ascii="Times New Roman" w:hAnsi="Times New Roman" w:cs="Times New Roman"/>
            <w:noProof/>
            <w:color w:val="0000CC"/>
            <w:sz w:val="20"/>
            <w:szCs w:val="20"/>
          </w:rPr>
          <w:t>23</w:t>
        </w:r>
      </w:hyperlink>
      <w:r w:rsidR="007D2DBC">
        <w:rPr>
          <w:rFonts w:ascii="Times New Roman" w:hAnsi="Times New Roman" w:cs="Times New Roman"/>
          <w:noProof/>
          <w:color w:val="0000CC"/>
          <w:sz w:val="20"/>
          <w:szCs w:val="20"/>
        </w:rPr>
        <w:t>]</w:t>
      </w:r>
      <w:r w:rsidR="007D2DBC" w:rsidRPr="007D2DBC">
        <w:rPr>
          <w:rFonts w:ascii="Times New Roman" w:hAnsi="Times New Roman" w:cs="Times New Roman"/>
          <w:color w:val="0000CC"/>
          <w:sz w:val="20"/>
          <w:szCs w:val="20"/>
        </w:rPr>
        <w:fldChar w:fldCharType="end"/>
      </w:r>
      <w:r w:rsidRPr="004B7B66">
        <w:rPr>
          <w:rFonts w:ascii="Times New Roman" w:hAnsi="Times New Roman" w:cs="Times New Roman"/>
          <w:sz w:val="20"/>
          <w:szCs w:val="20"/>
        </w:rPr>
        <w:t xml:space="preserve">. Second, Indonesia reformed the central bank in 1999, which </w:t>
      </w:r>
      <w:r w:rsidR="00C87C9C">
        <w:rPr>
          <w:rFonts w:ascii="Times New Roman" w:hAnsi="Times New Roman" w:cs="Times New Roman"/>
          <w:sz w:val="20"/>
          <w:szCs w:val="20"/>
        </w:rPr>
        <w:t>led</w:t>
      </w:r>
      <w:r w:rsidRPr="004B7B66">
        <w:rPr>
          <w:rFonts w:ascii="Times New Roman" w:hAnsi="Times New Roman" w:cs="Times New Roman"/>
          <w:sz w:val="20"/>
          <w:szCs w:val="20"/>
        </w:rPr>
        <w:t xml:space="preserve"> Bank Indonesia to be independent and free from political interference </w:t>
      </w:r>
      <w:r w:rsidR="007D2DBC" w:rsidRPr="007D2DBC">
        <w:rPr>
          <w:rFonts w:ascii="Times New Roman" w:hAnsi="Times New Roman" w:cs="Times New Roman"/>
          <w:color w:val="0000CC"/>
          <w:sz w:val="20"/>
          <w:szCs w:val="20"/>
        </w:rPr>
        <w:fldChar w:fldCharType="begin"/>
      </w:r>
      <w:r w:rsidR="00AF2A4C">
        <w:rPr>
          <w:rFonts w:ascii="Times New Roman" w:hAnsi="Times New Roman" w:cs="Times New Roman"/>
          <w:color w:val="0000CC"/>
          <w:sz w:val="20"/>
          <w:szCs w:val="20"/>
        </w:rPr>
        <w:instrText xml:space="preserve"> ADDIN EN.CITE &lt;EndNote&gt;&lt;Cite&gt;&lt;Author&gt;Wulandari&lt;/Author&gt;&lt;Year&gt;2020&lt;/Year&gt;&lt;RecNum&gt;42&lt;/RecNum&gt;&lt;DisplayText&gt;[24]&lt;/DisplayText&gt;&lt;record&gt;&lt;rec-number&gt;42&lt;/rec-number&gt;&lt;foreign-keys&gt;&lt;key app="EN" db-id="w02dva9072e097ez0eov2pwr9fvdzpzav5te"&gt;42&lt;/key&gt;&lt;/foreign-keys&gt;&lt;ref-type name="Journal Article"&gt;17&lt;/ref-type&gt;&lt;contributors&gt;&lt;authors&gt;&lt;author&gt;Wulandari, Dwi&lt;/author&gt;&lt;author&gt;Utomo, Sugeng Hadi&lt;/author&gt;&lt;author&gt;Narmaditya, Bagus Shandy&lt;/author&gt;&lt;/authors&gt;&lt;/contributors&gt;&lt;titles&gt;&lt;title&gt;The relationship between economic growth and macroeconomic indicators in Indonesia&lt;/title&gt;&lt;secondary-title&gt;Journal of International Studies&lt;/secondary-title&gt;&lt;/titles&gt;&lt;pages&gt;139-148&lt;/pages&gt;&lt;volume&gt;13&lt;/volume&gt;&lt;number&gt;2&lt;/number&gt;&lt;dates&gt;&lt;year&gt;2020&lt;/year&gt;&lt;/dates&gt;&lt;isbn&gt;2071-8330&lt;/isbn&gt;&lt;urls&gt;&lt;/urls&gt;&lt;electronic-resource-num&gt;https://doi.org/10.14254/2071-8330.2020/13-2/10&lt;/electronic-resource-num&gt;&lt;/record&gt;&lt;/Cite&gt;&lt;/EndNote&gt;</w:instrText>
      </w:r>
      <w:r w:rsidR="007D2DBC" w:rsidRPr="007D2DBC">
        <w:rPr>
          <w:rFonts w:ascii="Times New Roman" w:hAnsi="Times New Roman" w:cs="Times New Roman"/>
          <w:color w:val="0000CC"/>
          <w:sz w:val="20"/>
          <w:szCs w:val="20"/>
        </w:rPr>
        <w:fldChar w:fldCharType="separate"/>
      </w:r>
      <w:r w:rsidR="007D2DBC" w:rsidRPr="007D2DBC">
        <w:rPr>
          <w:rFonts w:ascii="Times New Roman" w:hAnsi="Times New Roman" w:cs="Times New Roman"/>
          <w:noProof/>
          <w:color w:val="0000CC"/>
          <w:sz w:val="20"/>
          <w:szCs w:val="20"/>
        </w:rPr>
        <w:t>[</w:t>
      </w:r>
      <w:hyperlink w:anchor="_ENREF_24" w:tooltip="Wulandari, 2020 #42" w:history="1">
        <w:r w:rsidR="00AF2A4C" w:rsidRPr="007D2DBC">
          <w:rPr>
            <w:rFonts w:ascii="Times New Roman" w:hAnsi="Times New Roman" w:cs="Times New Roman"/>
            <w:noProof/>
            <w:color w:val="0000CC"/>
            <w:sz w:val="20"/>
            <w:szCs w:val="20"/>
          </w:rPr>
          <w:t>24</w:t>
        </w:r>
      </w:hyperlink>
      <w:r w:rsidR="007D2DBC" w:rsidRPr="007D2DBC">
        <w:rPr>
          <w:rFonts w:ascii="Times New Roman" w:hAnsi="Times New Roman" w:cs="Times New Roman"/>
          <w:noProof/>
          <w:color w:val="0000CC"/>
          <w:sz w:val="20"/>
          <w:szCs w:val="20"/>
        </w:rPr>
        <w:t>]</w:t>
      </w:r>
      <w:r w:rsidR="007D2DBC" w:rsidRPr="007D2DBC">
        <w:rPr>
          <w:rFonts w:ascii="Times New Roman" w:hAnsi="Times New Roman" w:cs="Times New Roman"/>
          <w:color w:val="0000CC"/>
          <w:sz w:val="20"/>
          <w:szCs w:val="20"/>
        </w:rPr>
        <w:fldChar w:fldCharType="end"/>
      </w:r>
      <w:r w:rsidRPr="004B7B66">
        <w:rPr>
          <w:rFonts w:ascii="Times New Roman" w:hAnsi="Times New Roman" w:cs="Times New Roman"/>
          <w:sz w:val="20"/>
          <w:szCs w:val="20"/>
        </w:rPr>
        <w:t xml:space="preserve">. Third, the central bank of Indonesia has been implementing inflation targeting in the monetary policy framework since 2005 </w:t>
      </w:r>
      <w:r w:rsidR="007D2DBC" w:rsidRPr="007D2DBC">
        <w:rPr>
          <w:rFonts w:ascii="Times New Roman" w:hAnsi="Times New Roman" w:cs="Times New Roman"/>
          <w:color w:val="0000CC"/>
          <w:sz w:val="20"/>
          <w:szCs w:val="20"/>
        </w:rPr>
        <w:fldChar w:fldCharType="begin"/>
      </w:r>
      <w:r w:rsidR="00AF2A4C">
        <w:rPr>
          <w:rFonts w:ascii="Times New Roman" w:hAnsi="Times New Roman" w:cs="Times New Roman"/>
          <w:color w:val="0000CC"/>
          <w:sz w:val="20"/>
          <w:szCs w:val="20"/>
        </w:rPr>
        <w:instrText xml:space="preserve"> ADDIN EN.CITE &lt;EndNote&gt;&lt;Cite&gt;&lt;Author&gt;Kuncoro&lt;/Author&gt;&lt;Year&gt;2020&lt;/Year&gt;&lt;RecNum&gt;24&lt;/RecNum&gt;&lt;DisplayText&gt;[25]&lt;/DisplayText&gt;&lt;record&gt;&lt;rec-number&gt;24&lt;/rec-number&gt;&lt;foreign-keys&gt;&lt;key app="EN" db-id="w02dva9072e097ez0eov2pwr9fvdzpzav5te"&gt;24&lt;/key&gt;&lt;/foreign-keys&gt;&lt;ref-type name="Journal Article"&gt;17&lt;/ref-type&gt;&lt;contributors&gt;&lt;authors&gt;&lt;author&gt;Kuncoro, Haryo&lt;/author&gt;&lt;/authors&gt;&lt;/contributors&gt;&lt;titles&gt;&lt;title&gt;Interest rate policy and exchange rates volatility lessons from Indonesia&lt;/title&gt;&lt;secondary-title&gt;Journal of Central Banking Theory and Practice&lt;/secondary-title&gt;&lt;/titles&gt;&lt;pages&gt;19-42&lt;/pages&gt;&lt;volume&gt;9&lt;/volume&gt;&lt;number&gt;2&lt;/number&gt;&lt;dates&gt;&lt;year&gt;2020&lt;/year&gt;&lt;/dates&gt;&lt;urls&gt;&lt;/urls&gt;&lt;electronic-resource-num&gt;https://doi.org/10.2478/jcbtp-2020-0012&lt;/electronic-resource-num&gt;&lt;/record&gt;&lt;/Cite&gt;&lt;/EndNote&gt;</w:instrText>
      </w:r>
      <w:r w:rsidR="007D2DBC" w:rsidRPr="007D2DBC">
        <w:rPr>
          <w:rFonts w:ascii="Times New Roman" w:hAnsi="Times New Roman" w:cs="Times New Roman"/>
          <w:color w:val="0000CC"/>
          <w:sz w:val="20"/>
          <w:szCs w:val="20"/>
        </w:rPr>
        <w:fldChar w:fldCharType="separate"/>
      </w:r>
      <w:r w:rsidR="007D2DBC" w:rsidRPr="007D2DBC">
        <w:rPr>
          <w:rFonts w:ascii="Times New Roman" w:hAnsi="Times New Roman" w:cs="Times New Roman"/>
          <w:noProof/>
          <w:color w:val="0000CC"/>
          <w:sz w:val="20"/>
          <w:szCs w:val="20"/>
        </w:rPr>
        <w:t>[</w:t>
      </w:r>
      <w:hyperlink w:anchor="_ENREF_25" w:tooltip="Kuncoro, 2020 #24" w:history="1">
        <w:r w:rsidR="00AF2A4C" w:rsidRPr="007D2DBC">
          <w:rPr>
            <w:rFonts w:ascii="Times New Roman" w:hAnsi="Times New Roman" w:cs="Times New Roman"/>
            <w:noProof/>
            <w:color w:val="0000CC"/>
            <w:sz w:val="20"/>
            <w:szCs w:val="20"/>
          </w:rPr>
          <w:t>25</w:t>
        </w:r>
      </w:hyperlink>
      <w:r w:rsidR="007D2DBC" w:rsidRPr="007D2DBC">
        <w:rPr>
          <w:rFonts w:ascii="Times New Roman" w:hAnsi="Times New Roman" w:cs="Times New Roman"/>
          <w:noProof/>
          <w:color w:val="0000CC"/>
          <w:sz w:val="20"/>
          <w:szCs w:val="20"/>
        </w:rPr>
        <w:t>]</w:t>
      </w:r>
      <w:r w:rsidR="007D2DBC" w:rsidRPr="007D2DBC">
        <w:rPr>
          <w:rFonts w:ascii="Times New Roman" w:hAnsi="Times New Roman" w:cs="Times New Roman"/>
          <w:color w:val="0000CC"/>
          <w:sz w:val="20"/>
          <w:szCs w:val="20"/>
        </w:rPr>
        <w:fldChar w:fldCharType="end"/>
      </w:r>
      <w:r w:rsidRPr="004B7B66">
        <w:rPr>
          <w:rFonts w:ascii="Times New Roman" w:hAnsi="Times New Roman" w:cs="Times New Roman"/>
          <w:sz w:val="20"/>
          <w:szCs w:val="20"/>
        </w:rPr>
        <w:t>.</w:t>
      </w:r>
    </w:p>
    <w:bookmarkStart w:id="0" w:name="Figure1"/>
    <w:p w14:paraId="50E4ED98" w14:textId="3D7F404D" w:rsidR="00934106" w:rsidRDefault="00677117" w:rsidP="00293371">
      <w:pPr>
        <w:spacing w:after="0" w:line="240" w:lineRule="auto"/>
        <w:ind w:firstLine="360"/>
        <w:jc w:val="both"/>
        <w:rPr>
          <w:rFonts w:ascii="Times New Roman" w:hAnsi="Times New Roman" w:cs="Times New Roman"/>
          <w:sz w:val="20"/>
          <w:szCs w:val="20"/>
        </w:rPr>
      </w:pPr>
      <w:r w:rsidRPr="00677117">
        <w:rPr>
          <w:rFonts w:ascii="Times New Roman" w:hAnsi="Times New Roman" w:cs="Times New Roman"/>
          <w:sz w:val="20"/>
          <w:szCs w:val="20"/>
        </w:rPr>
        <w:fldChar w:fldCharType="begin"/>
      </w:r>
      <w:r w:rsidRPr="00677117">
        <w:rPr>
          <w:rFonts w:ascii="Times New Roman" w:hAnsi="Times New Roman" w:cs="Times New Roman"/>
          <w:sz w:val="20"/>
          <w:szCs w:val="20"/>
        </w:rPr>
        <w:instrText xml:space="preserve"> HYPERLINK  \l "Figure1" </w:instrText>
      </w:r>
      <w:r w:rsidRPr="00677117">
        <w:rPr>
          <w:rFonts w:ascii="Times New Roman" w:hAnsi="Times New Roman" w:cs="Times New Roman"/>
          <w:sz w:val="20"/>
          <w:szCs w:val="20"/>
        </w:rPr>
        <w:fldChar w:fldCharType="separate"/>
      </w:r>
      <w:r w:rsidR="001A3E56" w:rsidRPr="00677117">
        <w:rPr>
          <w:rStyle w:val="Hyperlink"/>
          <w:rFonts w:ascii="Times New Roman" w:hAnsi="Times New Roman" w:cs="Times New Roman"/>
          <w:sz w:val="20"/>
          <w:szCs w:val="20"/>
          <w:u w:val="none"/>
        </w:rPr>
        <w:t>Figure</w:t>
      </w:r>
      <w:bookmarkEnd w:id="0"/>
      <w:r w:rsidR="001A3E56" w:rsidRPr="00677117">
        <w:rPr>
          <w:rStyle w:val="Hyperlink"/>
          <w:rFonts w:ascii="Times New Roman" w:hAnsi="Times New Roman" w:cs="Times New Roman"/>
          <w:sz w:val="20"/>
          <w:szCs w:val="20"/>
          <w:u w:val="none"/>
        </w:rPr>
        <w:t xml:space="preserve"> 1</w:t>
      </w:r>
      <w:r w:rsidRPr="00677117">
        <w:rPr>
          <w:rFonts w:ascii="Times New Roman" w:hAnsi="Times New Roman" w:cs="Times New Roman"/>
          <w:sz w:val="20"/>
          <w:szCs w:val="20"/>
        </w:rPr>
        <w:fldChar w:fldCharType="end"/>
      </w:r>
      <w:r w:rsidR="001A3E56" w:rsidRPr="004B7B66">
        <w:rPr>
          <w:rFonts w:ascii="Times New Roman" w:hAnsi="Times New Roman" w:cs="Times New Roman"/>
          <w:sz w:val="20"/>
          <w:szCs w:val="20"/>
        </w:rPr>
        <w:t xml:space="preserve"> shows the growth rate of </w:t>
      </w:r>
      <w:r w:rsidR="00FD594B">
        <w:rPr>
          <w:rFonts w:ascii="Times New Roman" w:hAnsi="Times New Roman" w:cs="Times New Roman"/>
          <w:sz w:val="20"/>
          <w:szCs w:val="20"/>
        </w:rPr>
        <w:t xml:space="preserve">the </w:t>
      </w:r>
      <w:r w:rsidR="001A3E56" w:rsidRPr="004B7B66">
        <w:rPr>
          <w:rFonts w:ascii="Times New Roman" w:hAnsi="Times New Roman" w:cs="Times New Roman"/>
          <w:sz w:val="20"/>
          <w:szCs w:val="20"/>
        </w:rPr>
        <w:t>Indonesia rupiah against five foreign currencies that are most frequently traded</w:t>
      </w:r>
      <w:r w:rsidR="00017F73">
        <w:rPr>
          <w:rFonts w:ascii="Times New Roman" w:hAnsi="Times New Roman" w:cs="Times New Roman"/>
          <w:sz w:val="20"/>
          <w:szCs w:val="20"/>
        </w:rPr>
        <w:t xml:space="preserve">, </w:t>
      </w:r>
      <w:r w:rsidR="001A3E56" w:rsidRPr="004B7B66">
        <w:rPr>
          <w:rFonts w:ascii="Times New Roman" w:hAnsi="Times New Roman" w:cs="Times New Roman"/>
          <w:sz w:val="20"/>
          <w:szCs w:val="20"/>
        </w:rPr>
        <w:t xml:space="preserve">namely </w:t>
      </w:r>
      <w:r w:rsidR="00017F73">
        <w:rPr>
          <w:rFonts w:ascii="Times New Roman" w:hAnsi="Times New Roman" w:cs="Times New Roman"/>
          <w:sz w:val="20"/>
          <w:szCs w:val="20"/>
        </w:rPr>
        <w:t xml:space="preserve">the </w:t>
      </w:r>
      <w:r w:rsidR="001A3E56" w:rsidRPr="004B7B66">
        <w:rPr>
          <w:rFonts w:ascii="Times New Roman" w:hAnsi="Times New Roman" w:cs="Times New Roman"/>
          <w:sz w:val="20"/>
          <w:szCs w:val="20"/>
        </w:rPr>
        <w:t xml:space="preserve">US dollar, </w:t>
      </w:r>
      <w:r w:rsidR="00017F73">
        <w:rPr>
          <w:rFonts w:ascii="Times New Roman" w:hAnsi="Times New Roman" w:cs="Times New Roman"/>
          <w:sz w:val="20"/>
          <w:szCs w:val="20"/>
        </w:rPr>
        <w:t xml:space="preserve">the </w:t>
      </w:r>
      <w:r w:rsidR="001A3E56" w:rsidRPr="004B7B66">
        <w:rPr>
          <w:rFonts w:ascii="Times New Roman" w:hAnsi="Times New Roman" w:cs="Times New Roman"/>
          <w:sz w:val="20"/>
          <w:szCs w:val="20"/>
        </w:rPr>
        <w:t xml:space="preserve">Singapore Dollar, </w:t>
      </w:r>
      <w:r w:rsidR="00017F73">
        <w:rPr>
          <w:rFonts w:ascii="Times New Roman" w:hAnsi="Times New Roman" w:cs="Times New Roman"/>
          <w:sz w:val="20"/>
          <w:szCs w:val="20"/>
        </w:rPr>
        <w:t xml:space="preserve">the </w:t>
      </w:r>
      <w:r w:rsidR="001A3E56" w:rsidRPr="004B7B66">
        <w:rPr>
          <w:rFonts w:ascii="Times New Roman" w:hAnsi="Times New Roman" w:cs="Times New Roman"/>
          <w:sz w:val="20"/>
          <w:szCs w:val="20"/>
        </w:rPr>
        <w:t xml:space="preserve">Australia Dollar, as well as </w:t>
      </w:r>
      <w:r w:rsidR="00017F73">
        <w:rPr>
          <w:rFonts w:ascii="Times New Roman" w:hAnsi="Times New Roman" w:cs="Times New Roman"/>
          <w:sz w:val="20"/>
          <w:szCs w:val="20"/>
        </w:rPr>
        <w:t xml:space="preserve">the </w:t>
      </w:r>
      <w:r w:rsidR="001A3E56" w:rsidRPr="004B7B66">
        <w:rPr>
          <w:rFonts w:ascii="Times New Roman" w:hAnsi="Times New Roman" w:cs="Times New Roman"/>
          <w:sz w:val="20"/>
          <w:szCs w:val="20"/>
        </w:rPr>
        <w:t xml:space="preserve">Great Britain Pound </w:t>
      </w:r>
      <w:r w:rsidR="00C87C9C">
        <w:rPr>
          <w:rFonts w:ascii="Times New Roman" w:hAnsi="Times New Roman" w:cs="Times New Roman"/>
          <w:sz w:val="20"/>
          <w:szCs w:val="20"/>
        </w:rPr>
        <w:t>S</w:t>
      </w:r>
      <w:r w:rsidR="001A3E56" w:rsidRPr="004B7B66">
        <w:rPr>
          <w:rFonts w:ascii="Times New Roman" w:hAnsi="Times New Roman" w:cs="Times New Roman"/>
          <w:sz w:val="20"/>
          <w:szCs w:val="20"/>
        </w:rPr>
        <w:t xml:space="preserve">terling and Euro from 1992Q1 to </w:t>
      </w:r>
      <w:r w:rsidR="001A3E56" w:rsidRPr="00B90F30">
        <w:rPr>
          <w:rFonts w:ascii="Times New Roman" w:hAnsi="Times New Roman" w:cs="Times New Roman"/>
          <w:sz w:val="20"/>
          <w:szCs w:val="20"/>
        </w:rPr>
        <w:t>2019Q4, except for</w:t>
      </w:r>
      <w:r w:rsidR="00CA4577" w:rsidRPr="00B90F30">
        <w:rPr>
          <w:rFonts w:ascii="Times New Roman" w:hAnsi="Times New Roman" w:cs="Times New Roman"/>
          <w:sz w:val="20"/>
          <w:szCs w:val="20"/>
        </w:rPr>
        <w:t xml:space="preserve"> </w:t>
      </w:r>
      <w:r w:rsidR="000053F2">
        <w:rPr>
          <w:rFonts w:ascii="Times New Roman" w:hAnsi="Times New Roman" w:cs="Times New Roman"/>
          <w:sz w:val="20"/>
          <w:szCs w:val="20"/>
        </w:rPr>
        <w:t xml:space="preserve">the </w:t>
      </w:r>
      <w:r w:rsidR="00CA4577" w:rsidRPr="00B90F30">
        <w:rPr>
          <w:rFonts w:ascii="Times New Roman" w:hAnsi="Times New Roman" w:cs="Times New Roman"/>
          <w:sz w:val="20"/>
          <w:szCs w:val="20"/>
        </w:rPr>
        <w:t>Indonesia Rupiah to Singapore Dollar</w:t>
      </w:r>
      <w:r w:rsidR="001A3E56" w:rsidRPr="00B90F30">
        <w:rPr>
          <w:rFonts w:ascii="Times New Roman" w:hAnsi="Times New Roman" w:cs="Times New Roman"/>
          <w:sz w:val="20"/>
          <w:szCs w:val="20"/>
        </w:rPr>
        <w:t xml:space="preserve"> </w:t>
      </w:r>
      <w:r w:rsidR="00CA4577" w:rsidRPr="00B90F30">
        <w:rPr>
          <w:rFonts w:ascii="Times New Roman" w:hAnsi="Times New Roman" w:cs="Times New Roman"/>
          <w:sz w:val="20"/>
          <w:szCs w:val="20"/>
        </w:rPr>
        <w:t>(</w:t>
      </w:r>
      <w:r w:rsidR="001A3E56" w:rsidRPr="00B90F30">
        <w:rPr>
          <w:rFonts w:ascii="Times New Roman" w:hAnsi="Times New Roman" w:cs="Times New Roman"/>
          <w:sz w:val="20"/>
          <w:szCs w:val="20"/>
        </w:rPr>
        <w:t>IDR-SGD</w:t>
      </w:r>
      <w:r w:rsidR="00CA4577" w:rsidRPr="00B90F30">
        <w:rPr>
          <w:rFonts w:ascii="Times New Roman" w:hAnsi="Times New Roman" w:cs="Times New Roman"/>
          <w:sz w:val="20"/>
          <w:szCs w:val="20"/>
        </w:rPr>
        <w:t>)</w:t>
      </w:r>
      <w:r w:rsidR="001A3E56" w:rsidRPr="00B90F30">
        <w:rPr>
          <w:rFonts w:ascii="Times New Roman" w:hAnsi="Times New Roman" w:cs="Times New Roman"/>
          <w:sz w:val="20"/>
          <w:szCs w:val="20"/>
        </w:rPr>
        <w:t xml:space="preserve"> from 1996Q1 to 2019Q4 and for IDR-Euro from 2000Q1 to 2019Q4. It can be seen that for the period 1992 to 1997, the movement </w:t>
      </w:r>
      <w:r w:rsidR="000053F2">
        <w:rPr>
          <w:rFonts w:ascii="Times New Roman" w:hAnsi="Times New Roman" w:cs="Times New Roman"/>
          <w:sz w:val="20"/>
          <w:szCs w:val="20"/>
        </w:rPr>
        <w:t xml:space="preserve">of </w:t>
      </w:r>
      <w:r w:rsidR="00887493">
        <w:rPr>
          <w:rFonts w:ascii="Times New Roman" w:hAnsi="Times New Roman" w:cs="Times New Roman"/>
          <w:sz w:val="20"/>
          <w:szCs w:val="20"/>
        </w:rPr>
        <w:t xml:space="preserve">the </w:t>
      </w:r>
      <w:r w:rsidR="001A3E56" w:rsidRPr="00B90F30">
        <w:rPr>
          <w:rFonts w:ascii="Times New Roman" w:hAnsi="Times New Roman" w:cs="Times New Roman"/>
          <w:sz w:val="20"/>
          <w:szCs w:val="20"/>
        </w:rPr>
        <w:t xml:space="preserve">Indonesia Rupiah against </w:t>
      </w:r>
      <w:r w:rsidR="00887493">
        <w:rPr>
          <w:rFonts w:ascii="Times New Roman" w:hAnsi="Times New Roman" w:cs="Times New Roman"/>
          <w:sz w:val="20"/>
          <w:szCs w:val="20"/>
        </w:rPr>
        <w:t xml:space="preserve">the </w:t>
      </w:r>
      <w:r w:rsidR="00CA4577" w:rsidRPr="00B90F30">
        <w:rPr>
          <w:rFonts w:ascii="Times New Roman" w:hAnsi="Times New Roman" w:cs="Times New Roman"/>
          <w:sz w:val="20"/>
          <w:szCs w:val="20"/>
        </w:rPr>
        <w:t>US Dollar (</w:t>
      </w:r>
      <w:r w:rsidR="001A3E56" w:rsidRPr="00B90F30">
        <w:rPr>
          <w:rFonts w:ascii="Times New Roman" w:hAnsi="Times New Roman" w:cs="Times New Roman"/>
          <w:sz w:val="20"/>
          <w:szCs w:val="20"/>
        </w:rPr>
        <w:t>USD</w:t>
      </w:r>
      <w:r w:rsidR="00CA4577" w:rsidRPr="00B90F30">
        <w:rPr>
          <w:rFonts w:ascii="Times New Roman" w:hAnsi="Times New Roman" w:cs="Times New Roman"/>
          <w:sz w:val="20"/>
          <w:szCs w:val="20"/>
        </w:rPr>
        <w:t>)</w:t>
      </w:r>
      <w:r w:rsidR="001A3E56" w:rsidRPr="00B90F30">
        <w:rPr>
          <w:rFonts w:ascii="Times New Roman" w:hAnsi="Times New Roman" w:cs="Times New Roman"/>
          <w:sz w:val="20"/>
          <w:szCs w:val="20"/>
        </w:rPr>
        <w:t xml:space="preserve">, </w:t>
      </w:r>
      <w:r w:rsidR="00C87C9C" w:rsidRPr="004B7B66">
        <w:rPr>
          <w:rFonts w:ascii="Times New Roman" w:hAnsi="Times New Roman" w:cs="Times New Roman"/>
          <w:sz w:val="20"/>
          <w:szCs w:val="20"/>
        </w:rPr>
        <w:t>Singapore Dollar</w:t>
      </w:r>
      <w:r w:rsidR="00C87C9C" w:rsidRPr="00B90F30">
        <w:rPr>
          <w:rFonts w:ascii="Times New Roman" w:hAnsi="Times New Roman" w:cs="Times New Roman"/>
          <w:sz w:val="20"/>
          <w:szCs w:val="20"/>
        </w:rPr>
        <w:t xml:space="preserve"> </w:t>
      </w:r>
      <w:r w:rsidR="00C87C9C">
        <w:rPr>
          <w:rFonts w:ascii="Times New Roman" w:hAnsi="Times New Roman" w:cs="Times New Roman"/>
          <w:sz w:val="20"/>
          <w:szCs w:val="20"/>
        </w:rPr>
        <w:t>(</w:t>
      </w:r>
      <w:r w:rsidR="001A3E56" w:rsidRPr="00B90F30">
        <w:rPr>
          <w:rFonts w:ascii="Times New Roman" w:hAnsi="Times New Roman" w:cs="Times New Roman"/>
          <w:sz w:val="20"/>
          <w:szCs w:val="20"/>
        </w:rPr>
        <w:t>SGD</w:t>
      </w:r>
      <w:r w:rsidR="00C87C9C">
        <w:rPr>
          <w:rFonts w:ascii="Times New Roman" w:hAnsi="Times New Roman" w:cs="Times New Roman"/>
          <w:sz w:val="20"/>
          <w:szCs w:val="20"/>
        </w:rPr>
        <w:t>)</w:t>
      </w:r>
      <w:r w:rsidR="001A3E56" w:rsidRPr="00B90F30">
        <w:rPr>
          <w:rFonts w:ascii="Times New Roman" w:hAnsi="Times New Roman" w:cs="Times New Roman"/>
          <w:sz w:val="20"/>
          <w:szCs w:val="20"/>
        </w:rPr>
        <w:t xml:space="preserve"> and</w:t>
      </w:r>
      <w:r w:rsidR="00CA4577" w:rsidRPr="00B90F30">
        <w:rPr>
          <w:rFonts w:ascii="Times New Roman" w:hAnsi="Times New Roman" w:cs="Times New Roman"/>
          <w:sz w:val="20"/>
          <w:szCs w:val="20"/>
        </w:rPr>
        <w:t xml:space="preserve"> Australia Dollar</w:t>
      </w:r>
      <w:r w:rsidR="001A3E56" w:rsidRPr="00B90F30">
        <w:rPr>
          <w:rFonts w:ascii="Times New Roman" w:hAnsi="Times New Roman" w:cs="Times New Roman"/>
          <w:sz w:val="20"/>
          <w:szCs w:val="20"/>
        </w:rPr>
        <w:t xml:space="preserve"> </w:t>
      </w:r>
      <w:r w:rsidR="00CA4577" w:rsidRPr="00B90F30">
        <w:rPr>
          <w:rFonts w:ascii="Times New Roman" w:hAnsi="Times New Roman" w:cs="Times New Roman"/>
          <w:sz w:val="20"/>
          <w:szCs w:val="20"/>
        </w:rPr>
        <w:t>(</w:t>
      </w:r>
      <w:r w:rsidR="001A3E56" w:rsidRPr="00B90F30">
        <w:rPr>
          <w:rFonts w:ascii="Times New Roman" w:hAnsi="Times New Roman" w:cs="Times New Roman"/>
          <w:sz w:val="20"/>
          <w:szCs w:val="20"/>
        </w:rPr>
        <w:t>AUD</w:t>
      </w:r>
      <w:r w:rsidR="00CA4577" w:rsidRPr="00B90F30">
        <w:rPr>
          <w:rFonts w:ascii="Times New Roman" w:hAnsi="Times New Roman" w:cs="Times New Roman"/>
          <w:sz w:val="20"/>
          <w:szCs w:val="20"/>
        </w:rPr>
        <w:t>)</w:t>
      </w:r>
      <w:r w:rsidR="001A3E56" w:rsidRPr="00B90F30">
        <w:rPr>
          <w:rFonts w:ascii="Times New Roman" w:hAnsi="Times New Roman" w:cs="Times New Roman"/>
          <w:sz w:val="20"/>
          <w:szCs w:val="20"/>
        </w:rPr>
        <w:t xml:space="preserve"> was </w:t>
      </w:r>
      <w:r w:rsidR="001A3E56" w:rsidRPr="004B7B66">
        <w:rPr>
          <w:rFonts w:ascii="Times New Roman" w:hAnsi="Times New Roman" w:cs="Times New Roman"/>
          <w:sz w:val="20"/>
          <w:szCs w:val="20"/>
        </w:rPr>
        <w:t>relatively stable. In that period, Indonesia manage</w:t>
      </w:r>
      <w:r w:rsidR="00C87C9C">
        <w:rPr>
          <w:rFonts w:ascii="Times New Roman" w:hAnsi="Times New Roman" w:cs="Times New Roman"/>
          <w:sz w:val="20"/>
          <w:szCs w:val="20"/>
        </w:rPr>
        <w:t>d</w:t>
      </w:r>
      <w:r w:rsidR="001A3E56" w:rsidRPr="004B7B66">
        <w:rPr>
          <w:rFonts w:ascii="Times New Roman" w:hAnsi="Times New Roman" w:cs="Times New Roman"/>
          <w:sz w:val="20"/>
          <w:szCs w:val="20"/>
        </w:rPr>
        <w:t xml:space="preserve"> floating with </w:t>
      </w:r>
      <w:r w:rsidR="000053F2">
        <w:rPr>
          <w:rFonts w:ascii="Times New Roman" w:hAnsi="Times New Roman" w:cs="Times New Roman"/>
          <w:sz w:val="20"/>
          <w:szCs w:val="20"/>
        </w:rPr>
        <w:t xml:space="preserve">a </w:t>
      </w:r>
      <w:r w:rsidR="001A3E56" w:rsidRPr="004B7B66">
        <w:rPr>
          <w:rFonts w:ascii="Times New Roman" w:hAnsi="Times New Roman" w:cs="Times New Roman"/>
          <w:sz w:val="20"/>
          <w:szCs w:val="20"/>
        </w:rPr>
        <w:t xml:space="preserve">crawling band exchange rate system. Therefore, the Rupiah exchange rate movement </w:t>
      </w:r>
      <w:r w:rsidR="00C87C9C">
        <w:rPr>
          <w:rFonts w:ascii="Times New Roman" w:hAnsi="Times New Roman" w:cs="Times New Roman"/>
          <w:sz w:val="20"/>
          <w:szCs w:val="20"/>
        </w:rPr>
        <w:t>wa</w:t>
      </w:r>
      <w:r w:rsidR="000053F2">
        <w:rPr>
          <w:rFonts w:ascii="Times New Roman" w:hAnsi="Times New Roman" w:cs="Times New Roman"/>
          <w:sz w:val="20"/>
          <w:szCs w:val="20"/>
        </w:rPr>
        <w:t xml:space="preserve">s </w:t>
      </w:r>
      <w:r w:rsidR="001A3E56" w:rsidRPr="004B7B66">
        <w:rPr>
          <w:rFonts w:ascii="Times New Roman" w:hAnsi="Times New Roman" w:cs="Times New Roman"/>
          <w:sz w:val="20"/>
          <w:szCs w:val="20"/>
        </w:rPr>
        <w:t xml:space="preserve">quite constant. However, </w:t>
      </w:r>
      <w:r w:rsidR="000053F2">
        <w:rPr>
          <w:rFonts w:ascii="Times New Roman" w:hAnsi="Times New Roman" w:cs="Times New Roman"/>
          <w:sz w:val="20"/>
          <w:szCs w:val="20"/>
        </w:rPr>
        <w:t>in</w:t>
      </w:r>
      <w:r w:rsidR="000053F2" w:rsidRPr="004B7B66">
        <w:rPr>
          <w:rFonts w:ascii="Times New Roman" w:hAnsi="Times New Roman" w:cs="Times New Roman"/>
          <w:sz w:val="20"/>
          <w:szCs w:val="20"/>
        </w:rPr>
        <w:t xml:space="preserve"> </w:t>
      </w:r>
      <w:r w:rsidR="001A3E56" w:rsidRPr="004B7B66">
        <w:rPr>
          <w:rFonts w:ascii="Times New Roman" w:hAnsi="Times New Roman" w:cs="Times New Roman"/>
          <w:sz w:val="20"/>
          <w:szCs w:val="20"/>
        </w:rPr>
        <w:t>August 1997, the system was changed into a free</w:t>
      </w:r>
      <w:r w:rsidR="000053F2">
        <w:rPr>
          <w:rFonts w:ascii="Times New Roman" w:hAnsi="Times New Roman" w:cs="Times New Roman"/>
          <w:sz w:val="20"/>
          <w:szCs w:val="20"/>
        </w:rPr>
        <w:t>-</w:t>
      </w:r>
      <w:r w:rsidR="001A3E56" w:rsidRPr="004B7B66">
        <w:rPr>
          <w:rFonts w:ascii="Times New Roman" w:hAnsi="Times New Roman" w:cs="Times New Roman"/>
          <w:sz w:val="20"/>
          <w:szCs w:val="20"/>
        </w:rPr>
        <w:t xml:space="preserve">floating exchange rate. In </w:t>
      </w:r>
      <w:r w:rsidR="000053F2">
        <w:rPr>
          <w:rFonts w:ascii="Times New Roman" w:hAnsi="Times New Roman" w:cs="Times New Roman"/>
          <w:sz w:val="20"/>
          <w:szCs w:val="20"/>
        </w:rPr>
        <w:t xml:space="preserve">the </w:t>
      </w:r>
      <w:r w:rsidR="001A3E56" w:rsidRPr="004B7B66">
        <w:rPr>
          <w:rFonts w:ascii="Times New Roman" w:hAnsi="Times New Roman" w:cs="Times New Roman"/>
          <w:sz w:val="20"/>
          <w:szCs w:val="20"/>
        </w:rPr>
        <w:t>period 1998-2000</w:t>
      </w:r>
      <w:r w:rsidR="00C87C9C">
        <w:rPr>
          <w:rFonts w:ascii="Times New Roman" w:hAnsi="Times New Roman" w:cs="Times New Roman"/>
          <w:sz w:val="20"/>
          <w:szCs w:val="20"/>
        </w:rPr>
        <w:t>,</w:t>
      </w:r>
      <w:r w:rsidR="001A3E56" w:rsidRPr="004B7B66">
        <w:rPr>
          <w:rFonts w:ascii="Times New Roman" w:hAnsi="Times New Roman" w:cs="Times New Roman"/>
          <w:sz w:val="20"/>
          <w:szCs w:val="20"/>
        </w:rPr>
        <w:t xml:space="preserve"> Indonesia experienced </w:t>
      </w:r>
      <w:r w:rsidR="000053F2">
        <w:rPr>
          <w:rFonts w:ascii="Times New Roman" w:hAnsi="Times New Roman" w:cs="Times New Roman"/>
          <w:sz w:val="20"/>
          <w:szCs w:val="20"/>
        </w:rPr>
        <w:t xml:space="preserve">the </w:t>
      </w:r>
      <w:r w:rsidR="001A3E56" w:rsidRPr="004B7B66">
        <w:rPr>
          <w:rFonts w:ascii="Times New Roman" w:hAnsi="Times New Roman" w:cs="Times New Roman"/>
          <w:sz w:val="20"/>
          <w:szCs w:val="20"/>
        </w:rPr>
        <w:t xml:space="preserve">Asian financial crisis, leading to a strong fluctuation of </w:t>
      </w:r>
      <w:r w:rsidR="000053F2">
        <w:rPr>
          <w:rFonts w:ascii="Times New Roman" w:hAnsi="Times New Roman" w:cs="Times New Roman"/>
          <w:sz w:val="20"/>
          <w:szCs w:val="20"/>
        </w:rPr>
        <w:t xml:space="preserve">the </w:t>
      </w:r>
      <w:r w:rsidR="001A3E56" w:rsidRPr="004B7B66">
        <w:rPr>
          <w:rFonts w:ascii="Times New Roman" w:hAnsi="Times New Roman" w:cs="Times New Roman"/>
          <w:sz w:val="20"/>
          <w:szCs w:val="20"/>
        </w:rPr>
        <w:t xml:space="preserve">Indonesia Rupiah against five foreign currencies. After 2000, </w:t>
      </w:r>
      <w:r w:rsidR="000053F2">
        <w:rPr>
          <w:rFonts w:ascii="Times New Roman" w:hAnsi="Times New Roman" w:cs="Times New Roman"/>
          <w:sz w:val="20"/>
          <w:szCs w:val="20"/>
        </w:rPr>
        <w:t>the C</w:t>
      </w:r>
      <w:r w:rsidR="001A3E56" w:rsidRPr="004B7B66">
        <w:rPr>
          <w:rFonts w:ascii="Times New Roman" w:hAnsi="Times New Roman" w:cs="Times New Roman"/>
          <w:sz w:val="20"/>
          <w:szCs w:val="20"/>
        </w:rPr>
        <w:t xml:space="preserve">entral </w:t>
      </w:r>
      <w:r w:rsidR="000053F2">
        <w:rPr>
          <w:rFonts w:ascii="Times New Roman" w:hAnsi="Times New Roman" w:cs="Times New Roman"/>
          <w:sz w:val="20"/>
          <w:szCs w:val="20"/>
        </w:rPr>
        <w:t>B</w:t>
      </w:r>
      <w:r w:rsidR="001A3E56" w:rsidRPr="004B7B66">
        <w:rPr>
          <w:rFonts w:ascii="Times New Roman" w:hAnsi="Times New Roman" w:cs="Times New Roman"/>
          <w:sz w:val="20"/>
          <w:szCs w:val="20"/>
        </w:rPr>
        <w:t xml:space="preserve">ank of Indonesia interfered </w:t>
      </w:r>
      <w:r w:rsidR="000053F2">
        <w:rPr>
          <w:rFonts w:ascii="Times New Roman" w:hAnsi="Times New Roman" w:cs="Times New Roman"/>
          <w:sz w:val="20"/>
          <w:szCs w:val="20"/>
        </w:rPr>
        <w:t xml:space="preserve">in </w:t>
      </w:r>
      <w:r w:rsidR="001A3E56" w:rsidRPr="004B7B66">
        <w:rPr>
          <w:rFonts w:ascii="Times New Roman" w:hAnsi="Times New Roman" w:cs="Times New Roman"/>
          <w:sz w:val="20"/>
          <w:szCs w:val="20"/>
        </w:rPr>
        <w:t>the currency market to create a stable Rupiah. However, since it is traded freely in the financial market, the movement of the Rupiah against foreign currencies fluctuates.</w:t>
      </w:r>
    </w:p>
    <w:p w14:paraId="1DAFED92" w14:textId="13B2A9DA" w:rsidR="004B7B66" w:rsidRPr="004B7B66" w:rsidRDefault="004B7B66" w:rsidP="00293371">
      <w:pPr>
        <w:spacing w:after="0" w:line="240" w:lineRule="auto"/>
        <w:ind w:firstLine="360"/>
        <w:jc w:val="both"/>
        <w:rPr>
          <w:rFonts w:ascii="Times New Roman" w:hAnsi="Times New Roman" w:cs="Times New Roman"/>
          <w:sz w:val="20"/>
          <w:szCs w:val="20"/>
          <w:shd w:val="clear" w:color="auto" w:fill="FFFFFF"/>
        </w:rPr>
      </w:pPr>
      <w:r w:rsidRPr="004B7B66">
        <w:rPr>
          <w:rFonts w:ascii="Times New Roman" w:hAnsi="Times New Roman" w:cs="Times New Roman"/>
          <w:sz w:val="20"/>
          <w:szCs w:val="20"/>
        </w:rPr>
        <w:t xml:space="preserve">The effect of monetary policy, particularly </w:t>
      </w:r>
      <w:r w:rsidR="00837C26">
        <w:rPr>
          <w:rFonts w:ascii="Times New Roman" w:hAnsi="Times New Roman" w:cs="Times New Roman"/>
          <w:sz w:val="20"/>
          <w:szCs w:val="20"/>
        </w:rPr>
        <w:t>the C</w:t>
      </w:r>
      <w:r w:rsidRPr="004B7B66">
        <w:rPr>
          <w:rFonts w:ascii="Times New Roman" w:hAnsi="Times New Roman" w:cs="Times New Roman"/>
          <w:sz w:val="20"/>
          <w:szCs w:val="20"/>
        </w:rPr>
        <w:t xml:space="preserve">entral </w:t>
      </w:r>
      <w:r w:rsidR="00837C26">
        <w:rPr>
          <w:rFonts w:ascii="Times New Roman" w:hAnsi="Times New Roman" w:cs="Times New Roman"/>
          <w:sz w:val="20"/>
          <w:szCs w:val="20"/>
        </w:rPr>
        <w:t>B</w:t>
      </w:r>
      <w:r w:rsidRPr="004B7B66">
        <w:rPr>
          <w:rFonts w:ascii="Times New Roman" w:hAnsi="Times New Roman" w:cs="Times New Roman"/>
          <w:sz w:val="20"/>
          <w:szCs w:val="20"/>
        </w:rPr>
        <w:t xml:space="preserve">ank rate on the volatility of the exchange rate is inconclusive. This is because </w:t>
      </w:r>
      <w:r w:rsidR="007D2DBC" w:rsidRPr="007D2DBC">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AuthorYear="1"&gt;&lt;Author&gt;Khin&lt;/Author&gt;&lt;Year&gt;2017&lt;/Year&gt;&lt;RecNum&gt;22&lt;/RecNum&gt;&lt;DisplayText&gt;Khin, et al. [26]&lt;/DisplayText&gt;&lt;record&gt;&lt;rec-number&gt;22&lt;/rec-number&gt;&lt;foreign-keys&gt;&lt;key app="EN" db-id="w02dva9072e097ez0eov2pwr9fvdzpzav5te"&gt;22&lt;/key&gt;&lt;/foreign-keys&gt;&lt;ref-type name="Journal Article"&gt;17&lt;/ref-type&gt;&lt;contributors&gt;&lt;authors&gt;&lt;author&gt;Khin, Aye Aye&lt;/author&gt;&lt;author&gt;Yee, Chiow Yet&lt;/author&gt;&lt;author&gt;Seng, Ler Su&lt;/author&gt;&lt;author&gt;Wan, Chan Mei&lt;/author&gt;&lt;author&gt;Xian, Goh Qi&lt;/author&gt;&lt;/authors&gt;&lt;/contributors&gt;&lt;titles&gt;&lt;title&gt;Exchange rate volatility on macroeconomıc determinants in Malaysia: Vector error correction method (VECM) model&lt;/title&gt;&lt;secondary-title&gt;Journal of Global Business and Social Entrepreneurship&lt;/secondary-title&gt;&lt;/titles&gt;&lt;pages&gt;36-45&lt;/pages&gt;&lt;volume&gt;3&lt;/volume&gt;&lt;number&gt;5&lt;/number&gt;&lt;dates&gt;&lt;year&gt;2017&lt;/year&gt;&lt;/dates&gt;&lt;urls&gt;&lt;/urls&gt;&lt;/record&gt;&lt;/Cite&gt;&lt;/EndNote&gt;</w:instrText>
      </w:r>
      <w:r w:rsidR="007D2DBC" w:rsidRPr="007D2DBC">
        <w:rPr>
          <w:rFonts w:ascii="Times New Roman" w:hAnsi="Times New Roman" w:cs="Times New Roman"/>
          <w:color w:val="0000CC"/>
          <w:sz w:val="20"/>
          <w:szCs w:val="20"/>
          <w:shd w:val="clear" w:color="auto" w:fill="FFFFFF"/>
        </w:rPr>
        <w:fldChar w:fldCharType="separate"/>
      </w:r>
      <w:hyperlink w:anchor="_ENREF_26" w:tooltip="Khin, 2017 #22" w:history="1">
        <w:r w:rsidR="00AF2A4C">
          <w:rPr>
            <w:rFonts w:ascii="Times New Roman" w:hAnsi="Times New Roman" w:cs="Times New Roman"/>
            <w:noProof/>
            <w:color w:val="0000CC"/>
            <w:sz w:val="20"/>
            <w:szCs w:val="20"/>
            <w:shd w:val="clear" w:color="auto" w:fill="FFFFFF"/>
          </w:rPr>
          <w:t>Khin et al. [26</w:t>
        </w:r>
      </w:hyperlink>
      <w:r w:rsidR="007D2DBC">
        <w:rPr>
          <w:rFonts w:ascii="Times New Roman" w:hAnsi="Times New Roman" w:cs="Times New Roman"/>
          <w:noProof/>
          <w:color w:val="0000CC"/>
          <w:sz w:val="20"/>
          <w:szCs w:val="20"/>
          <w:shd w:val="clear" w:color="auto" w:fill="FFFFFF"/>
        </w:rPr>
        <w:t>]</w:t>
      </w:r>
      <w:r w:rsidR="007D2DBC" w:rsidRPr="007D2DBC">
        <w:rPr>
          <w:rFonts w:ascii="Times New Roman" w:hAnsi="Times New Roman" w:cs="Times New Roman"/>
          <w:color w:val="0000CC"/>
          <w:sz w:val="20"/>
          <w:szCs w:val="20"/>
          <w:shd w:val="clear" w:color="auto" w:fill="FFFFFF"/>
        </w:rPr>
        <w:fldChar w:fldCharType="end"/>
      </w:r>
      <w:r w:rsidR="007D2DBC">
        <w:rPr>
          <w:rFonts w:ascii="Times New Roman" w:hAnsi="Times New Roman" w:cs="Times New Roman"/>
          <w:sz w:val="20"/>
          <w:szCs w:val="20"/>
          <w:shd w:val="clear" w:color="auto" w:fill="FFFFFF"/>
        </w:rPr>
        <w:t>;</w:t>
      </w:r>
      <w:r w:rsidRPr="004B7B66">
        <w:rPr>
          <w:rFonts w:ascii="Times New Roman" w:hAnsi="Times New Roman" w:cs="Times New Roman"/>
          <w:sz w:val="20"/>
          <w:szCs w:val="20"/>
          <w:shd w:val="clear" w:color="auto" w:fill="FFFFFF"/>
        </w:rPr>
        <w:t xml:space="preserve"> </w:t>
      </w:r>
      <w:r w:rsidR="007D2DBC" w:rsidRPr="007D2DBC">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AuthorYear="1"&gt;&lt;Author&gt;Ali&lt;/Author&gt;&lt;Year&gt;2015&lt;/Year&gt;&lt;RecNum&gt;4&lt;/RecNum&gt;&lt;DisplayText&gt;Ali, et al. [27]&lt;/DisplayText&gt;&lt;record&gt;&lt;rec-number&gt;4&lt;/rec-number&gt;&lt;foreign-keys&gt;&lt;key app="EN" db-id="w02dva9072e097ez0eov2pwr9fvdzpzav5te"&gt;4&lt;/key&gt;&lt;/foreign-keys&gt;&lt;ref-type name="Journal Article"&gt;17&lt;/ref-type&gt;&lt;contributors&gt;&lt;authors&gt;&lt;author&gt;Ali, Tariq Mahmood&lt;/author&gt;&lt;author&gt;Mahmood, Muhammad Tariq&lt;/author&gt;&lt;author&gt;Bashir, Tariq&lt;/author&gt;&lt;/authors&gt;&lt;/contributors&gt;&lt;titles&gt;&lt;title&gt;Impact of interest rate, inflation and money supply on exchange rate volatility in Pakistan&lt;/title&gt;&lt;secondary-title&gt;World Applied Sciences Journal&lt;/secondary-title&gt;&lt;/titles&gt;&lt;pages&gt;620-630&lt;/pages&gt;&lt;volume&gt;33&lt;/volume&gt;&lt;number&gt;4&lt;/number&gt;&lt;dates&gt;&lt;year&gt;2015&lt;/year&gt;&lt;/dates&gt;&lt;isbn&gt;1818-4952&lt;/isbn&gt;&lt;urls&gt;&lt;/urls&gt;&lt;/record&gt;&lt;/Cite&gt;&lt;/EndNote&gt;</w:instrText>
      </w:r>
      <w:r w:rsidR="007D2DBC" w:rsidRPr="007D2DBC">
        <w:rPr>
          <w:rFonts w:ascii="Times New Roman" w:hAnsi="Times New Roman" w:cs="Times New Roman"/>
          <w:color w:val="0000CC"/>
          <w:sz w:val="20"/>
          <w:szCs w:val="20"/>
          <w:shd w:val="clear" w:color="auto" w:fill="FFFFFF"/>
        </w:rPr>
        <w:fldChar w:fldCharType="separate"/>
      </w:r>
      <w:hyperlink w:anchor="_ENREF_27" w:tooltip="Ali, 2015 #4" w:history="1">
        <w:r w:rsidR="00AF2A4C">
          <w:rPr>
            <w:rFonts w:ascii="Times New Roman" w:hAnsi="Times New Roman" w:cs="Times New Roman"/>
            <w:noProof/>
            <w:color w:val="0000CC"/>
            <w:sz w:val="20"/>
            <w:szCs w:val="20"/>
            <w:shd w:val="clear" w:color="auto" w:fill="FFFFFF"/>
          </w:rPr>
          <w:t>Ali et al. [27</w:t>
        </w:r>
      </w:hyperlink>
      <w:r w:rsidR="007D2DBC">
        <w:rPr>
          <w:rFonts w:ascii="Times New Roman" w:hAnsi="Times New Roman" w:cs="Times New Roman"/>
          <w:noProof/>
          <w:color w:val="0000CC"/>
          <w:sz w:val="20"/>
          <w:szCs w:val="20"/>
          <w:shd w:val="clear" w:color="auto" w:fill="FFFFFF"/>
        </w:rPr>
        <w:t>]</w:t>
      </w:r>
      <w:r w:rsidR="007D2DBC" w:rsidRPr="007D2DBC">
        <w:rPr>
          <w:rFonts w:ascii="Times New Roman" w:hAnsi="Times New Roman" w:cs="Times New Roman"/>
          <w:color w:val="0000CC"/>
          <w:sz w:val="20"/>
          <w:szCs w:val="20"/>
          <w:shd w:val="clear" w:color="auto" w:fill="FFFFFF"/>
        </w:rPr>
        <w:fldChar w:fldCharType="end"/>
      </w:r>
      <w:r w:rsidR="007D2DBC">
        <w:rPr>
          <w:rFonts w:ascii="Times New Roman" w:hAnsi="Times New Roman" w:cs="Times New Roman"/>
          <w:sz w:val="20"/>
          <w:szCs w:val="20"/>
          <w:shd w:val="clear" w:color="auto" w:fill="FFFFFF"/>
        </w:rPr>
        <w:t>;</w:t>
      </w:r>
      <w:r w:rsidRPr="004B7B66">
        <w:rPr>
          <w:rFonts w:ascii="Times New Roman" w:hAnsi="Times New Roman" w:cs="Times New Roman"/>
          <w:sz w:val="20"/>
          <w:szCs w:val="20"/>
          <w:shd w:val="clear" w:color="auto" w:fill="FFFFFF"/>
        </w:rPr>
        <w:t xml:space="preserve"> </w:t>
      </w:r>
      <w:r w:rsidR="007D2DBC" w:rsidRPr="007D2DBC">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AuthorYear="1"&gt;&lt;Author&gt;Saha&lt;/Author&gt;&lt;Year&gt;2014&lt;/Year&gt;&lt;RecNum&gt;32&lt;/RecNum&gt;&lt;DisplayText&gt;Saha and Biswas [28]&lt;/DisplayText&gt;&lt;record&gt;&lt;rec-number&gt;32&lt;/rec-number&gt;&lt;foreign-keys&gt;&lt;key app="EN" db-id="w02dva9072e097ez0eov2pwr9fvdzpzav5te"&gt;32&lt;/key&gt;&lt;/foreign-keys&gt;&lt;ref-type name="Journal Article"&gt;17&lt;/ref-type&gt;&lt;contributors&gt;&lt;authors&gt;&lt;author&gt;Saha, A. K.&lt;/author&gt;&lt;author&gt;Biswas, S.&lt;/author&gt;&lt;/authors&gt;&lt;/contributors&gt;&lt;titles&gt;&lt;title&gt;Macroeconomic fundamentals and exchange rate volatility during the floating exchange rate regime in India&lt;/title&gt;&lt;secondary-title&gt;International Journal of Economics &amp;amp; Management&lt;/secondary-title&gt;&lt;/titles&gt;&lt;pages&gt;10-39&lt;/pages&gt;&lt;volume&gt;8&lt;/volume&gt;&lt;number&gt;1&lt;/number&gt;&lt;dates&gt;&lt;year&gt;2014&lt;/year&gt;&lt;/dates&gt;&lt;isbn&gt;1823-836X&lt;/isbn&gt;&lt;urls&gt;&lt;/urls&gt;&lt;/record&gt;&lt;/Cite&gt;&lt;/EndNote&gt;</w:instrText>
      </w:r>
      <w:r w:rsidR="007D2DBC" w:rsidRPr="007D2DBC">
        <w:rPr>
          <w:rFonts w:ascii="Times New Roman" w:hAnsi="Times New Roman" w:cs="Times New Roman"/>
          <w:color w:val="0000CC"/>
          <w:sz w:val="20"/>
          <w:szCs w:val="20"/>
          <w:shd w:val="clear" w:color="auto" w:fill="FFFFFF"/>
        </w:rPr>
        <w:fldChar w:fldCharType="separate"/>
      </w:r>
      <w:hyperlink w:anchor="_ENREF_28" w:tooltip="Saha, 2014 #32" w:history="1">
        <w:r w:rsidR="00AF2A4C">
          <w:rPr>
            <w:rFonts w:ascii="Times New Roman" w:hAnsi="Times New Roman" w:cs="Times New Roman"/>
            <w:noProof/>
            <w:color w:val="0000CC"/>
            <w:sz w:val="20"/>
            <w:szCs w:val="20"/>
            <w:shd w:val="clear" w:color="auto" w:fill="FFFFFF"/>
          </w:rPr>
          <w:t>Saha and Biswas [28</w:t>
        </w:r>
      </w:hyperlink>
      <w:r w:rsidR="007D2DBC">
        <w:rPr>
          <w:rFonts w:ascii="Times New Roman" w:hAnsi="Times New Roman" w:cs="Times New Roman"/>
          <w:noProof/>
          <w:color w:val="0000CC"/>
          <w:sz w:val="20"/>
          <w:szCs w:val="20"/>
          <w:shd w:val="clear" w:color="auto" w:fill="FFFFFF"/>
        </w:rPr>
        <w:t>]</w:t>
      </w:r>
      <w:r w:rsidR="007D2DBC" w:rsidRPr="007D2DBC">
        <w:rPr>
          <w:rFonts w:ascii="Times New Roman" w:hAnsi="Times New Roman" w:cs="Times New Roman"/>
          <w:color w:val="0000CC"/>
          <w:sz w:val="20"/>
          <w:szCs w:val="20"/>
          <w:shd w:val="clear" w:color="auto" w:fill="FFFFFF"/>
        </w:rPr>
        <w:fldChar w:fldCharType="end"/>
      </w:r>
      <w:r w:rsidRPr="004B7B66">
        <w:rPr>
          <w:rFonts w:ascii="Times New Roman" w:hAnsi="Times New Roman" w:cs="Times New Roman"/>
          <w:sz w:val="20"/>
          <w:szCs w:val="20"/>
          <w:shd w:val="clear" w:color="auto" w:fill="FFFFFF"/>
        </w:rPr>
        <w:t xml:space="preserve"> and </w:t>
      </w:r>
      <w:r w:rsidR="007D2DBC" w:rsidRPr="007D2DBC">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AuthorYear="1"&gt;&lt;Author&gt;Mirchandani&lt;/Author&gt;&lt;Year&gt;2013&lt;/Year&gt;&lt;RecNum&gt;27&lt;/RecNum&gt;&lt;DisplayText&gt;Mirchandani [29]&lt;/DisplayText&gt;&lt;record&gt;&lt;rec-number&gt;27&lt;/rec-number&gt;&lt;foreign-keys&gt;&lt;key app="EN" db-id="w02dva9072e097ez0eov2pwr9fvdzpzav5te"&gt;27&lt;/key&gt;&lt;/foreign-keys&gt;&lt;ref-type name="Journal Article"&gt;17&lt;/ref-type&gt;&lt;contributors&gt;&lt;authors&gt;&lt;author&gt;Mirchandani, Anita&lt;/author&gt;&lt;/authors&gt;&lt;/contributors&gt;&lt;titles&gt;&lt;title&gt;Analysis of macroeconomic determinants of exchange rate volatility in India&lt;/title&gt;&lt;secondary-title&gt;International Journal of Economics and Financial Issues&lt;/secondary-title&gt;&lt;/titles&gt;&lt;pages&gt;172-179&lt;/pages&gt;&lt;volume&gt;3&lt;/volume&gt;&lt;number&gt;1&lt;/number&gt;&lt;dates&gt;&lt;year&gt;2013&lt;/year&gt;&lt;/dates&gt;&lt;urls&gt;&lt;/urls&gt;&lt;/record&gt;&lt;/Cite&gt;&lt;/EndNote&gt;</w:instrText>
      </w:r>
      <w:r w:rsidR="007D2DBC" w:rsidRPr="007D2DBC">
        <w:rPr>
          <w:rFonts w:ascii="Times New Roman" w:hAnsi="Times New Roman" w:cs="Times New Roman"/>
          <w:color w:val="0000CC"/>
          <w:sz w:val="20"/>
          <w:szCs w:val="20"/>
          <w:shd w:val="clear" w:color="auto" w:fill="FFFFFF"/>
        </w:rPr>
        <w:fldChar w:fldCharType="separate"/>
      </w:r>
      <w:hyperlink w:anchor="_ENREF_29" w:tooltip="Mirchandani, 2013 #27" w:history="1">
        <w:r w:rsidR="00AF2A4C">
          <w:rPr>
            <w:rFonts w:ascii="Times New Roman" w:hAnsi="Times New Roman" w:cs="Times New Roman"/>
            <w:noProof/>
            <w:color w:val="0000CC"/>
            <w:sz w:val="20"/>
            <w:szCs w:val="20"/>
            <w:shd w:val="clear" w:color="auto" w:fill="FFFFFF"/>
          </w:rPr>
          <w:t>Mirchandani [29</w:t>
        </w:r>
      </w:hyperlink>
      <w:r w:rsidR="007D2DBC">
        <w:rPr>
          <w:rFonts w:ascii="Times New Roman" w:hAnsi="Times New Roman" w:cs="Times New Roman"/>
          <w:noProof/>
          <w:color w:val="0000CC"/>
          <w:sz w:val="20"/>
          <w:szCs w:val="20"/>
          <w:shd w:val="clear" w:color="auto" w:fill="FFFFFF"/>
        </w:rPr>
        <w:t>]</w:t>
      </w:r>
      <w:r w:rsidR="007D2DBC" w:rsidRPr="007D2DBC">
        <w:rPr>
          <w:rFonts w:ascii="Times New Roman" w:hAnsi="Times New Roman" w:cs="Times New Roman"/>
          <w:color w:val="0000CC"/>
          <w:sz w:val="20"/>
          <w:szCs w:val="20"/>
          <w:shd w:val="clear" w:color="auto" w:fill="FFFFFF"/>
        </w:rPr>
        <w:fldChar w:fldCharType="end"/>
      </w:r>
      <w:r w:rsidRPr="004B7B66">
        <w:rPr>
          <w:rFonts w:ascii="Times New Roman" w:hAnsi="Times New Roman" w:cs="Times New Roman"/>
          <w:sz w:val="20"/>
          <w:szCs w:val="20"/>
          <w:shd w:val="clear" w:color="auto" w:fill="FFFFFF"/>
        </w:rPr>
        <w:t xml:space="preserve"> claimed there is a negative relationship between central bank policy rate and exchange rate volatility while </w:t>
      </w:r>
      <w:r w:rsidR="007D2DBC" w:rsidRPr="007D2DBC">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AuthorYear="1"&gt;&lt;Author&gt;Kuncoro&lt;/Author&gt;&lt;Year&gt;2020&lt;/Year&gt;&lt;RecNum&gt;24&lt;/RecNum&gt;&lt;DisplayText&gt;Kuncoro [25]&lt;/DisplayText&gt;&lt;record&gt;&lt;rec-number&gt;24&lt;/rec-number&gt;&lt;foreign-keys&gt;&lt;key app="EN" db-id="w02dva9072e097ez0eov2pwr9fvdzpzav5te"&gt;24&lt;/key&gt;&lt;/foreign-keys&gt;&lt;ref-type name="Journal Article"&gt;17&lt;/ref-type&gt;&lt;contributors&gt;&lt;authors&gt;&lt;author&gt;Kuncoro, Haryo&lt;/author&gt;&lt;/authors&gt;&lt;/contributors&gt;&lt;titles&gt;&lt;title&gt;Interest rate policy and exchange rates volatility lessons from Indonesia&lt;/title&gt;&lt;secondary-title&gt;Journal of Central Banking Theory and Practice&lt;/secondary-title&gt;&lt;/titles&gt;&lt;pages&gt;19-42&lt;/pages&gt;&lt;volume&gt;9&lt;/volume&gt;&lt;number&gt;2&lt;/number&gt;&lt;dates&gt;&lt;year&gt;2020&lt;/year&gt;&lt;/dates&gt;&lt;urls&gt;&lt;/urls&gt;&lt;electronic-resource-num&gt;https://doi.org/10.2478/jcbtp-2020-0012&lt;/electronic-resource-num&gt;&lt;/record&gt;&lt;/Cite&gt;&lt;/EndNote&gt;</w:instrText>
      </w:r>
      <w:r w:rsidR="007D2DBC" w:rsidRPr="007D2DBC">
        <w:rPr>
          <w:rFonts w:ascii="Times New Roman" w:hAnsi="Times New Roman" w:cs="Times New Roman"/>
          <w:color w:val="0000CC"/>
          <w:sz w:val="20"/>
          <w:szCs w:val="20"/>
          <w:shd w:val="clear" w:color="auto" w:fill="FFFFFF"/>
        </w:rPr>
        <w:fldChar w:fldCharType="separate"/>
      </w:r>
      <w:hyperlink w:anchor="_ENREF_25" w:tooltip="Kuncoro, 2020 #24" w:history="1">
        <w:r w:rsidR="00AF2A4C">
          <w:rPr>
            <w:rFonts w:ascii="Times New Roman" w:hAnsi="Times New Roman" w:cs="Times New Roman"/>
            <w:noProof/>
            <w:color w:val="0000CC"/>
            <w:sz w:val="20"/>
            <w:szCs w:val="20"/>
            <w:shd w:val="clear" w:color="auto" w:fill="FFFFFF"/>
          </w:rPr>
          <w:t>Kuncoro [25</w:t>
        </w:r>
      </w:hyperlink>
      <w:r w:rsidR="007D2DBC">
        <w:rPr>
          <w:rFonts w:ascii="Times New Roman" w:hAnsi="Times New Roman" w:cs="Times New Roman"/>
          <w:noProof/>
          <w:color w:val="0000CC"/>
          <w:sz w:val="20"/>
          <w:szCs w:val="20"/>
          <w:shd w:val="clear" w:color="auto" w:fill="FFFFFF"/>
        </w:rPr>
        <w:t>]</w:t>
      </w:r>
      <w:r w:rsidR="007D2DBC" w:rsidRPr="007D2DBC">
        <w:rPr>
          <w:rFonts w:ascii="Times New Roman" w:hAnsi="Times New Roman" w:cs="Times New Roman"/>
          <w:color w:val="0000CC"/>
          <w:sz w:val="20"/>
          <w:szCs w:val="20"/>
          <w:shd w:val="clear" w:color="auto" w:fill="FFFFFF"/>
        </w:rPr>
        <w:fldChar w:fldCharType="end"/>
      </w:r>
      <w:r w:rsidR="007D2DBC">
        <w:rPr>
          <w:rFonts w:ascii="Times New Roman" w:hAnsi="Times New Roman" w:cs="Times New Roman"/>
          <w:sz w:val="20"/>
          <w:szCs w:val="20"/>
          <w:shd w:val="clear" w:color="auto" w:fill="FFFFFF"/>
        </w:rPr>
        <w:t>;</w:t>
      </w:r>
      <w:r w:rsidRPr="004B7B66">
        <w:rPr>
          <w:rFonts w:ascii="Times New Roman" w:hAnsi="Times New Roman" w:cs="Times New Roman"/>
          <w:sz w:val="20"/>
          <w:szCs w:val="20"/>
          <w:shd w:val="clear" w:color="auto" w:fill="FFFFFF"/>
        </w:rPr>
        <w:t xml:space="preserve"> </w:t>
      </w:r>
      <w:r w:rsidR="007D2DBC" w:rsidRPr="007D2DBC">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AuthorYear="1"&gt;&lt;Author&gt;Hassan&lt;/Author&gt;&lt;Year&gt;2017&lt;/Year&gt;&lt;RecNum&gt;18&lt;/RecNum&gt;&lt;DisplayText&gt;Hassan and Dantama [30]&lt;/DisplayText&gt;&lt;record&gt;&lt;rec-number&gt;18&lt;/rec-number&gt;&lt;foreign-keys&gt;&lt;key app="EN" db-id="w02dva9072e097ez0eov2pwr9fvdzpzav5te"&gt;18&lt;/key&gt;&lt;/foreign-keys&gt;&lt;ref-type name="Journal Article"&gt;17&lt;/ref-type&gt;&lt;contributors&gt;&lt;authors&gt;&lt;author&gt;Hassan, Adamu&lt;/author&gt;&lt;author&gt;Dantama, Yusuf Umar&lt;/author&gt;&lt;/authors&gt;&lt;/contributors&gt;&lt;titles&gt;&lt;title&gt;Determinants of exchange rate volatility: New estimates from Nigeria&lt;/title&gt;&lt;secondary-title&gt;Eastern Journal of Economics and Finance&lt;/secondary-title&gt;&lt;/titles&gt;&lt;pages&gt;1-12&lt;/pages&gt;&lt;volume&gt;3&lt;/volume&gt;&lt;number&gt;1&lt;/number&gt;&lt;dates&gt;&lt;year&gt;2017&lt;/year&gt;&lt;/dates&gt;&lt;urls&gt;&lt;/urls&gt;&lt;electronic-resource-num&gt;https://doi.org/10.20448/809.3.1.1.12&lt;/electronic-resource-num&gt;&lt;/record&gt;&lt;/Cite&gt;&lt;/EndNote&gt;</w:instrText>
      </w:r>
      <w:r w:rsidR="007D2DBC" w:rsidRPr="007D2DBC">
        <w:rPr>
          <w:rFonts w:ascii="Times New Roman" w:hAnsi="Times New Roman" w:cs="Times New Roman"/>
          <w:color w:val="0000CC"/>
          <w:sz w:val="20"/>
          <w:szCs w:val="20"/>
          <w:shd w:val="clear" w:color="auto" w:fill="FFFFFF"/>
        </w:rPr>
        <w:fldChar w:fldCharType="separate"/>
      </w:r>
      <w:hyperlink w:anchor="_ENREF_30" w:tooltip="Hassan, 2017 #18" w:history="1">
        <w:r w:rsidR="00AF2A4C">
          <w:rPr>
            <w:rFonts w:ascii="Times New Roman" w:hAnsi="Times New Roman" w:cs="Times New Roman"/>
            <w:noProof/>
            <w:color w:val="0000CC"/>
            <w:sz w:val="20"/>
            <w:szCs w:val="20"/>
            <w:shd w:val="clear" w:color="auto" w:fill="FFFFFF"/>
          </w:rPr>
          <w:t>Hassan and Dantama [30</w:t>
        </w:r>
      </w:hyperlink>
      <w:r w:rsidR="007D2DBC">
        <w:rPr>
          <w:rFonts w:ascii="Times New Roman" w:hAnsi="Times New Roman" w:cs="Times New Roman"/>
          <w:noProof/>
          <w:color w:val="0000CC"/>
          <w:sz w:val="20"/>
          <w:szCs w:val="20"/>
          <w:shd w:val="clear" w:color="auto" w:fill="FFFFFF"/>
        </w:rPr>
        <w:t>]</w:t>
      </w:r>
      <w:r w:rsidR="007D2DBC" w:rsidRPr="007D2DBC">
        <w:rPr>
          <w:rFonts w:ascii="Times New Roman" w:hAnsi="Times New Roman" w:cs="Times New Roman"/>
          <w:color w:val="0000CC"/>
          <w:sz w:val="20"/>
          <w:szCs w:val="20"/>
          <w:shd w:val="clear" w:color="auto" w:fill="FFFFFF"/>
        </w:rPr>
        <w:fldChar w:fldCharType="end"/>
      </w:r>
      <w:r w:rsidRPr="004B7B66">
        <w:rPr>
          <w:rFonts w:ascii="Times New Roman" w:hAnsi="Times New Roman" w:cs="Times New Roman"/>
          <w:sz w:val="20"/>
          <w:szCs w:val="20"/>
          <w:shd w:val="clear" w:color="auto" w:fill="FFFFFF"/>
        </w:rPr>
        <w:t xml:space="preserve"> and </w:t>
      </w:r>
      <w:r w:rsidR="007D2DBC" w:rsidRPr="007D2DBC">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AuthorYear="1"&gt;&lt;Author&gt;Adeoye&lt;/Author&gt;&lt;Year&gt;2014&lt;/Year&gt;&lt;RecNum&gt;2&lt;/RecNum&gt;&lt;DisplayText&gt;Adeoye and Saibu [5]&lt;/DisplayText&gt;&lt;record&gt;&lt;rec-number&gt;2&lt;/rec-number&gt;&lt;foreign-keys&gt;&lt;key app="EN" db-id="w02dva9072e097ez0eov2pwr9fvdzpzav5te"&gt;2&lt;/key&gt;&lt;/foreign-keys&gt;&lt;ref-type name="Journal Article"&gt;17&lt;/ref-type&gt;&lt;contributors&gt;&lt;authors&gt;&lt;author&gt;Adeoye, B. W.&lt;/author&gt;&lt;author&gt;Saibu, O. M.&lt;/author&gt;&lt;/authors&gt;&lt;/contributors&gt;&lt;titles&gt;&lt;title&gt;Monetary policy shocks and exchange rate volatility in Nigeria&lt;/title&gt;&lt;secondary-title&gt;Asian Economic and Financial Review&lt;/secondary-title&gt;&lt;/titles&gt;&lt;pages&gt;544-562&lt;/pages&gt;&lt;volume&gt;4&lt;/volume&gt;&lt;number&gt;4&lt;/number&gt;&lt;dates&gt;&lt;year&gt;2014&lt;/year&gt;&lt;/dates&gt;&lt;urls&gt;&lt;/urls&gt;&lt;/record&gt;&lt;/Cite&gt;&lt;/EndNote&gt;</w:instrText>
      </w:r>
      <w:r w:rsidR="007D2DBC" w:rsidRPr="007D2DBC">
        <w:rPr>
          <w:rFonts w:ascii="Times New Roman" w:hAnsi="Times New Roman" w:cs="Times New Roman"/>
          <w:color w:val="0000CC"/>
          <w:sz w:val="20"/>
          <w:szCs w:val="20"/>
          <w:shd w:val="clear" w:color="auto" w:fill="FFFFFF"/>
        </w:rPr>
        <w:fldChar w:fldCharType="separate"/>
      </w:r>
      <w:hyperlink w:anchor="_ENREF_5" w:tooltip="Adeoye, 2014 #2" w:history="1">
        <w:r w:rsidR="00AF2A4C">
          <w:rPr>
            <w:rFonts w:ascii="Times New Roman" w:hAnsi="Times New Roman" w:cs="Times New Roman"/>
            <w:noProof/>
            <w:color w:val="0000CC"/>
            <w:sz w:val="20"/>
            <w:szCs w:val="20"/>
            <w:shd w:val="clear" w:color="auto" w:fill="FFFFFF"/>
          </w:rPr>
          <w:t>Adeoye and Saibu [5</w:t>
        </w:r>
      </w:hyperlink>
      <w:r w:rsidR="007D2DBC">
        <w:rPr>
          <w:rFonts w:ascii="Times New Roman" w:hAnsi="Times New Roman" w:cs="Times New Roman"/>
          <w:noProof/>
          <w:color w:val="0000CC"/>
          <w:sz w:val="20"/>
          <w:szCs w:val="20"/>
          <w:shd w:val="clear" w:color="auto" w:fill="FFFFFF"/>
        </w:rPr>
        <w:t>]</w:t>
      </w:r>
      <w:r w:rsidR="007D2DBC" w:rsidRPr="007D2DBC">
        <w:rPr>
          <w:rFonts w:ascii="Times New Roman" w:hAnsi="Times New Roman" w:cs="Times New Roman"/>
          <w:color w:val="0000CC"/>
          <w:sz w:val="20"/>
          <w:szCs w:val="20"/>
          <w:shd w:val="clear" w:color="auto" w:fill="FFFFFF"/>
        </w:rPr>
        <w:fldChar w:fldCharType="end"/>
      </w:r>
      <w:r w:rsidRPr="004B7B66">
        <w:rPr>
          <w:rFonts w:ascii="Times New Roman" w:hAnsi="Times New Roman" w:cs="Times New Roman"/>
          <w:sz w:val="20"/>
          <w:szCs w:val="20"/>
          <w:shd w:val="clear" w:color="auto" w:fill="FFFFFF"/>
        </w:rPr>
        <w:t xml:space="preserve"> found a positive relationship. According to </w:t>
      </w:r>
      <w:r w:rsidR="003D452E" w:rsidRPr="003D452E">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AuthorYear="1"&gt;&lt;Author&gt;Kilicarslan&lt;/Author&gt;&lt;Year&gt;2018&lt;/Year&gt;&lt;RecNum&gt;23&lt;/RecNum&gt;&lt;DisplayText&gt;Kilicarslan [12]&lt;/DisplayText&gt;&lt;record&gt;&lt;rec-number&gt;23&lt;/rec-number&gt;&lt;foreign-keys&gt;&lt;key app="EN" db-id="w02dva9072e097ez0eov2pwr9fvdzpzav5te"&gt;23&lt;/key&gt;&lt;/foreign-keys&gt;&lt;ref-type name="Journal Article"&gt;17&lt;/ref-type&gt;&lt;contributors&gt;&lt;authors&gt;&lt;author&gt;Kilicarslan, Zerrin&lt;/author&gt;&lt;/authors&gt;&lt;/contributors&gt;&lt;titles&gt;&lt;title&gt;Determinants of exchange rate volatility: Empirical evidence for Turkey&lt;/title&gt;&lt;secondary-title&gt;Journal of Economics Finance and Accounting&lt;/secondary-title&gt;&lt;/titles&gt;&lt;pages&gt;204-213&lt;/pages&gt;&lt;volume&gt;5&lt;/volume&gt;&lt;number&gt;2&lt;/number&gt;&lt;dates&gt;&lt;year&gt;2018&lt;/year&gt;&lt;/dates&gt;&lt;urls&gt;&lt;/urls&gt;&lt;electronic-resource-num&gt;https://doi.org/10.17261/pressacademia.2018.825&lt;/electronic-resource-num&gt;&lt;/record&gt;&lt;/Cite&gt;&lt;/EndNote&gt;</w:instrText>
      </w:r>
      <w:r w:rsidR="003D452E" w:rsidRPr="003D452E">
        <w:rPr>
          <w:rFonts w:ascii="Times New Roman" w:hAnsi="Times New Roman" w:cs="Times New Roman"/>
          <w:color w:val="0000CC"/>
          <w:sz w:val="20"/>
          <w:szCs w:val="20"/>
          <w:shd w:val="clear" w:color="auto" w:fill="FFFFFF"/>
        </w:rPr>
        <w:fldChar w:fldCharType="separate"/>
      </w:r>
      <w:hyperlink w:anchor="_ENREF_12" w:tooltip="Kilicarslan, 2018 #23" w:history="1">
        <w:r w:rsidR="00AF2A4C">
          <w:rPr>
            <w:rFonts w:ascii="Times New Roman" w:hAnsi="Times New Roman" w:cs="Times New Roman"/>
            <w:noProof/>
            <w:color w:val="0000CC"/>
            <w:sz w:val="20"/>
            <w:szCs w:val="20"/>
            <w:shd w:val="clear" w:color="auto" w:fill="FFFFFF"/>
          </w:rPr>
          <w:t>Kilicarslan [12</w:t>
        </w:r>
      </w:hyperlink>
      <w:r w:rsidR="003D452E">
        <w:rPr>
          <w:rFonts w:ascii="Times New Roman" w:hAnsi="Times New Roman" w:cs="Times New Roman"/>
          <w:noProof/>
          <w:color w:val="0000CC"/>
          <w:sz w:val="20"/>
          <w:szCs w:val="20"/>
          <w:shd w:val="clear" w:color="auto" w:fill="FFFFFF"/>
        </w:rPr>
        <w:t>]</w:t>
      </w:r>
      <w:r w:rsidR="003D452E" w:rsidRPr="003D452E">
        <w:rPr>
          <w:rFonts w:ascii="Times New Roman" w:hAnsi="Times New Roman" w:cs="Times New Roman"/>
          <w:color w:val="0000CC"/>
          <w:sz w:val="20"/>
          <w:szCs w:val="20"/>
          <w:shd w:val="clear" w:color="auto" w:fill="FFFFFF"/>
        </w:rPr>
        <w:fldChar w:fldCharType="end"/>
      </w:r>
      <w:r w:rsidR="00FE00C6">
        <w:rPr>
          <w:rFonts w:ascii="Times New Roman" w:hAnsi="Times New Roman" w:cs="Times New Roman"/>
          <w:sz w:val="20"/>
          <w:szCs w:val="20"/>
          <w:shd w:val="clear" w:color="auto" w:fill="FFFFFF"/>
        </w:rPr>
        <w:t>;</w:t>
      </w:r>
      <w:r w:rsidRPr="004B7B66">
        <w:rPr>
          <w:rFonts w:ascii="Times New Roman" w:hAnsi="Times New Roman" w:cs="Times New Roman"/>
          <w:sz w:val="20"/>
          <w:szCs w:val="20"/>
          <w:shd w:val="clear" w:color="auto" w:fill="FFFFFF"/>
        </w:rPr>
        <w:t xml:space="preserve"> </w:t>
      </w:r>
      <w:r w:rsidR="00732AD2" w:rsidRPr="007D2DBC">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AuthorYear="1"&gt;&lt;Author&gt;Khin&lt;/Author&gt;&lt;Year&gt;2017&lt;/Year&gt;&lt;RecNum&gt;22&lt;/RecNum&gt;&lt;DisplayText&gt;Khin, et al. [26]&lt;/DisplayText&gt;&lt;record&gt;&lt;rec-number&gt;22&lt;/rec-number&gt;&lt;foreign-keys&gt;&lt;key app="EN" db-id="w02dva9072e097ez0eov2pwr9fvdzpzav5te"&gt;22&lt;/key&gt;&lt;/foreign-keys&gt;&lt;ref-type name="Journal Article"&gt;17&lt;/ref-type&gt;&lt;contributors&gt;&lt;authors&gt;&lt;author&gt;Khin, Aye Aye&lt;/author&gt;&lt;author&gt;Yee, Chiow Yet&lt;/author&gt;&lt;author&gt;Seng, Ler Su&lt;/author&gt;&lt;author&gt;Wan, Chan Mei&lt;/author&gt;&lt;author&gt;Xian, Goh Qi&lt;/author&gt;&lt;/authors&gt;&lt;/contributors&gt;&lt;titles&gt;&lt;title&gt;Exchange rate volatility on macroeconomıc determinants in Malaysia: Vector error correction method (VECM) model&lt;/title&gt;&lt;secondary-title&gt;Journal of Global Business and Social Entrepreneurship&lt;/secondary-title&gt;&lt;/titles&gt;&lt;pages&gt;36-45&lt;/pages&gt;&lt;volume&gt;3&lt;/volume&gt;&lt;number&gt;5&lt;/number&gt;&lt;dates&gt;&lt;year&gt;2017&lt;/year&gt;&lt;/dates&gt;&lt;urls&gt;&lt;/urls&gt;&lt;/record&gt;&lt;/Cite&gt;&lt;/EndNote&gt;</w:instrText>
      </w:r>
      <w:r w:rsidR="00732AD2" w:rsidRPr="007D2DBC">
        <w:rPr>
          <w:rFonts w:ascii="Times New Roman" w:hAnsi="Times New Roman" w:cs="Times New Roman"/>
          <w:color w:val="0000CC"/>
          <w:sz w:val="20"/>
          <w:szCs w:val="20"/>
          <w:shd w:val="clear" w:color="auto" w:fill="FFFFFF"/>
        </w:rPr>
        <w:fldChar w:fldCharType="separate"/>
      </w:r>
      <w:hyperlink w:anchor="_ENREF_26" w:tooltip="Khin, 2017 #22" w:history="1">
        <w:r w:rsidR="00AF2A4C">
          <w:rPr>
            <w:rFonts w:ascii="Times New Roman" w:hAnsi="Times New Roman" w:cs="Times New Roman"/>
            <w:noProof/>
            <w:color w:val="0000CC"/>
            <w:sz w:val="20"/>
            <w:szCs w:val="20"/>
            <w:shd w:val="clear" w:color="auto" w:fill="FFFFFF"/>
          </w:rPr>
          <w:t>Khin et al. [26</w:t>
        </w:r>
      </w:hyperlink>
      <w:r w:rsidR="00732AD2">
        <w:rPr>
          <w:rFonts w:ascii="Times New Roman" w:hAnsi="Times New Roman" w:cs="Times New Roman"/>
          <w:noProof/>
          <w:color w:val="0000CC"/>
          <w:sz w:val="20"/>
          <w:szCs w:val="20"/>
          <w:shd w:val="clear" w:color="auto" w:fill="FFFFFF"/>
        </w:rPr>
        <w:t>]</w:t>
      </w:r>
      <w:r w:rsidR="00732AD2" w:rsidRPr="007D2DBC">
        <w:rPr>
          <w:rFonts w:ascii="Times New Roman" w:hAnsi="Times New Roman" w:cs="Times New Roman"/>
          <w:color w:val="0000CC"/>
          <w:sz w:val="20"/>
          <w:szCs w:val="20"/>
          <w:shd w:val="clear" w:color="auto" w:fill="FFFFFF"/>
        </w:rPr>
        <w:fldChar w:fldCharType="end"/>
      </w:r>
      <w:r w:rsidR="00FE00C6">
        <w:rPr>
          <w:rFonts w:ascii="Times New Roman" w:hAnsi="Times New Roman" w:cs="Times New Roman"/>
          <w:sz w:val="20"/>
          <w:szCs w:val="20"/>
          <w:shd w:val="clear" w:color="auto" w:fill="FFFFFF"/>
        </w:rPr>
        <w:t>;</w:t>
      </w:r>
      <w:r w:rsidRPr="004B7B66">
        <w:rPr>
          <w:rFonts w:ascii="Times New Roman" w:hAnsi="Times New Roman" w:cs="Times New Roman"/>
          <w:sz w:val="20"/>
          <w:szCs w:val="20"/>
          <w:shd w:val="clear" w:color="auto" w:fill="FFFFFF"/>
        </w:rPr>
        <w:t xml:space="preserve"> </w:t>
      </w:r>
      <w:r w:rsidR="009C1AAD" w:rsidRPr="007D2DBC">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AuthorYear="1"&gt;&lt;Author&gt;Hassan&lt;/Author&gt;&lt;Year&gt;2017&lt;/Year&gt;&lt;RecNum&gt;18&lt;/RecNum&gt;&lt;DisplayText&gt;Hassan and Dantama [30]&lt;/DisplayText&gt;&lt;record&gt;&lt;rec-number&gt;18&lt;/rec-number&gt;&lt;foreign-keys&gt;&lt;key app="EN" db-id="w02dva9072e097ez0eov2pwr9fvdzpzav5te"&gt;18&lt;/key&gt;&lt;/foreign-keys&gt;&lt;ref-type name="Journal Article"&gt;17&lt;/ref-type&gt;&lt;contributors&gt;&lt;authors&gt;&lt;author&gt;Hassan, Adamu&lt;/author&gt;&lt;author&gt;Dantama, Yusuf Umar&lt;/author&gt;&lt;/authors&gt;&lt;/contributors&gt;&lt;titles&gt;&lt;title&gt;Determinants of exchange rate volatility: New estimates from Nigeria&lt;/title&gt;&lt;secondary-title&gt;Eastern Journal of Economics and Finance&lt;/secondary-title&gt;&lt;/titles&gt;&lt;pages&gt;1-12&lt;/pages&gt;&lt;volume&gt;3&lt;/volume&gt;&lt;number&gt;1&lt;/number&gt;&lt;dates&gt;&lt;year&gt;2017&lt;/year&gt;&lt;/dates&gt;&lt;urls&gt;&lt;/urls&gt;&lt;electronic-resource-num&gt;https://doi.org/10.20448/809.3.1.1.12&lt;/electronic-resource-num&gt;&lt;/record&gt;&lt;/Cite&gt;&lt;/EndNote&gt;</w:instrText>
      </w:r>
      <w:r w:rsidR="009C1AAD" w:rsidRPr="007D2DBC">
        <w:rPr>
          <w:rFonts w:ascii="Times New Roman" w:hAnsi="Times New Roman" w:cs="Times New Roman"/>
          <w:color w:val="0000CC"/>
          <w:sz w:val="20"/>
          <w:szCs w:val="20"/>
          <w:shd w:val="clear" w:color="auto" w:fill="FFFFFF"/>
        </w:rPr>
        <w:fldChar w:fldCharType="separate"/>
      </w:r>
      <w:hyperlink w:anchor="_ENREF_30" w:tooltip="Hassan, 2017 #18" w:history="1">
        <w:r w:rsidR="00AF2A4C">
          <w:rPr>
            <w:rFonts w:ascii="Times New Roman" w:hAnsi="Times New Roman" w:cs="Times New Roman"/>
            <w:noProof/>
            <w:color w:val="0000CC"/>
            <w:sz w:val="20"/>
            <w:szCs w:val="20"/>
            <w:shd w:val="clear" w:color="auto" w:fill="FFFFFF"/>
          </w:rPr>
          <w:t>Hassan and Dantama [30</w:t>
        </w:r>
      </w:hyperlink>
      <w:r w:rsidR="009C1AAD">
        <w:rPr>
          <w:rFonts w:ascii="Times New Roman" w:hAnsi="Times New Roman" w:cs="Times New Roman"/>
          <w:noProof/>
          <w:color w:val="0000CC"/>
          <w:sz w:val="20"/>
          <w:szCs w:val="20"/>
          <w:shd w:val="clear" w:color="auto" w:fill="FFFFFF"/>
        </w:rPr>
        <w:t>]</w:t>
      </w:r>
      <w:r w:rsidR="009C1AAD" w:rsidRPr="007D2DBC">
        <w:rPr>
          <w:rFonts w:ascii="Times New Roman" w:hAnsi="Times New Roman" w:cs="Times New Roman"/>
          <w:color w:val="0000CC"/>
          <w:sz w:val="20"/>
          <w:szCs w:val="20"/>
          <w:shd w:val="clear" w:color="auto" w:fill="FFFFFF"/>
        </w:rPr>
        <w:fldChar w:fldCharType="end"/>
      </w:r>
      <w:r w:rsidR="00FE00C6">
        <w:rPr>
          <w:rFonts w:ascii="Times New Roman" w:hAnsi="Times New Roman" w:cs="Times New Roman"/>
          <w:sz w:val="20"/>
          <w:szCs w:val="20"/>
          <w:shd w:val="clear" w:color="auto" w:fill="FFFFFF"/>
        </w:rPr>
        <w:t>;</w:t>
      </w:r>
      <w:r w:rsidRPr="004B7B66">
        <w:rPr>
          <w:rFonts w:ascii="Times New Roman" w:hAnsi="Times New Roman" w:cs="Times New Roman"/>
          <w:sz w:val="20"/>
          <w:szCs w:val="20"/>
          <w:shd w:val="clear" w:color="auto" w:fill="FFFFFF"/>
        </w:rPr>
        <w:t xml:space="preserve"> </w:t>
      </w:r>
      <w:r w:rsidR="00BD5E2E" w:rsidRPr="007D2DBC">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AuthorYear="1"&gt;&lt;Author&gt;Ali&lt;/Author&gt;&lt;Year&gt;2015&lt;/Year&gt;&lt;RecNum&gt;4&lt;/RecNum&gt;&lt;DisplayText&gt;Ali, et al. [27]&lt;/DisplayText&gt;&lt;record&gt;&lt;rec-number&gt;4&lt;/rec-number&gt;&lt;foreign-keys&gt;&lt;key app="EN" db-id="w02dva9072e097ez0eov2pwr9fvdzpzav5te"&gt;4&lt;/key&gt;&lt;/foreign-keys&gt;&lt;ref-type name="Journal Article"&gt;17&lt;/ref-type&gt;&lt;contributors&gt;&lt;authors&gt;&lt;author&gt;Ali, Tariq Mahmood&lt;/author&gt;&lt;author&gt;Mahmood, Muhammad Tariq&lt;/author&gt;&lt;author&gt;Bashir, Tariq&lt;/author&gt;&lt;/authors&gt;&lt;/contributors&gt;&lt;titles&gt;&lt;title&gt;Impact of interest rate, inflation and money supply on exchange rate volatility in Pakistan&lt;/title&gt;&lt;secondary-title&gt;World Applied Sciences Journal&lt;/secondary-title&gt;&lt;/titles&gt;&lt;pages&gt;620-630&lt;/pages&gt;&lt;volume&gt;33&lt;/volume&gt;&lt;number&gt;4&lt;/number&gt;&lt;dates&gt;&lt;year&gt;2015&lt;/year&gt;&lt;/dates&gt;&lt;isbn&gt;1818-4952&lt;/isbn&gt;&lt;urls&gt;&lt;/urls&gt;&lt;/record&gt;&lt;/Cite&gt;&lt;/EndNote&gt;</w:instrText>
      </w:r>
      <w:r w:rsidR="00BD5E2E" w:rsidRPr="007D2DBC">
        <w:rPr>
          <w:rFonts w:ascii="Times New Roman" w:hAnsi="Times New Roman" w:cs="Times New Roman"/>
          <w:color w:val="0000CC"/>
          <w:sz w:val="20"/>
          <w:szCs w:val="20"/>
          <w:shd w:val="clear" w:color="auto" w:fill="FFFFFF"/>
        </w:rPr>
        <w:fldChar w:fldCharType="separate"/>
      </w:r>
      <w:hyperlink w:anchor="_ENREF_27" w:tooltip="Ali, 2015 #4" w:history="1">
        <w:r w:rsidR="00AF2A4C">
          <w:rPr>
            <w:rFonts w:ascii="Times New Roman" w:hAnsi="Times New Roman" w:cs="Times New Roman"/>
            <w:noProof/>
            <w:color w:val="0000CC"/>
            <w:sz w:val="20"/>
            <w:szCs w:val="20"/>
            <w:shd w:val="clear" w:color="auto" w:fill="FFFFFF"/>
          </w:rPr>
          <w:t>Ali et al. [27</w:t>
        </w:r>
      </w:hyperlink>
      <w:r w:rsidR="00BD5E2E">
        <w:rPr>
          <w:rFonts w:ascii="Times New Roman" w:hAnsi="Times New Roman" w:cs="Times New Roman"/>
          <w:noProof/>
          <w:color w:val="0000CC"/>
          <w:sz w:val="20"/>
          <w:szCs w:val="20"/>
          <w:shd w:val="clear" w:color="auto" w:fill="FFFFFF"/>
        </w:rPr>
        <w:t>]</w:t>
      </w:r>
      <w:r w:rsidR="00BD5E2E" w:rsidRPr="007D2DBC">
        <w:rPr>
          <w:rFonts w:ascii="Times New Roman" w:hAnsi="Times New Roman" w:cs="Times New Roman"/>
          <w:color w:val="0000CC"/>
          <w:sz w:val="20"/>
          <w:szCs w:val="20"/>
          <w:shd w:val="clear" w:color="auto" w:fill="FFFFFF"/>
        </w:rPr>
        <w:fldChar w:fldCharType="end"/>
      </w:r>
      <w:r w:rsidR="00FE00C6">
        <w:rPr>
          <w:rFonts w:ascii="Times New Roman" w:hAnsi="Times New Roman" w:cs="Times New Roman"/>
          <w:sz w:val="20"/>
          <w:szCs w:val="20"/>
          <w:shd w:val="clear" w:color="auto" w:fill="FFFFFF"/>
        </w:rPr>
        <w:t>;</w:t>
      </w:r>
      <w:r w:rsidRPr="004B7B66">
        <w:rPr>
          <w:rFonts w:ascii="Times New Roman" w:hAnsi="Times New Roman" w:cs="Times New Roman"/>
          <w:sz w:val="20"/>
          <w:szCs w:val="20"/>
          <w:shd w:val="clear" w:color="auto" w:fill="FFFFFF"/>
        </w:rPr>
        <w:t xml:space="preserve"> </w:t>
      </w:r>
      <w:r w:rsidR="00BD5E2E" w:rsidRPr="007D2DBC">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AuthorYear="1"&gt;&lt;Author&gt;Adeoye&lt;/Author&gt;&lt;Year&gt;2014&lt;/Year&gt;&lt;RecNum&gt;2&lt;/RecNum&gt;&lt;DisplayText&gt;Adeoye and Saibu [5]&lt;/DisplayText&gt;&lt;record&gt;&lt;rec-number&gt;2&lt;/rec-number&gt;&lt;foreign-keys&gt;&lt;key app="EN" db-id="w02dva9072e097ez0eov2pwr9fvdzpzav5te"&gt;2&lt;/key&gt;&lt;/foreign-keys&gt;&lt;ref-type name="Journal Article"&gt;17&lt;/ref-type&gt;&lt;contributors&gt;&lt;authors&gt;&lt;author&gt;Adeoye, B. W.&lt;/author&gt;&lt;author&gt;Saibu, O. M.&lt;/author&gt;&lt;/authors&gt;&lt;/contributors&gt;&lt;titles&gt;&lt;title&gt;Monetary policy shocks and exchange rate volatility in Nigeria&lt;/title&gt;&lt;secondary-title&gt;Asian Economic and Financial Review&lt;/secondary-title&gt;&lt;/titles&gt;&lt;pages&gt;544-562&lt;/pages&gt;&lt;volume&gt;4&lt;/volume&gt;&lt;number&gt;4&lt;/number&gt;&lt;dates&gt;&lt;year&gt;2014&lt;/year&gt;&lt;/dates&gt;&lt;urls&gt;&lt;/urls&gt;&lt;/record&gt;&lt;/Cite&gt;&lt;/EndNote&gt;</w:instrText>
      </w:r>
      <w:r w:rsidR="00BD5E2E" w:rsidRPr="007D2DBC">
        <w:rPr>
          <w:rFonts w:ascii="Times New Roman" w:hAnsi="Times New Roman" w:cs="Times New Roman"/>
          <w:color w:val="0000CC"/>
          <w:sz w:val="20"/>
          <w:szCs w:val="20"/>
          <w:shd w:val="clear" w:color="auto" w:fill="FFFFFF"/>
        </w:rPr>
        <w:fldChar w:fldCharType="separate"/>
      </w:r>
      <w:hyperlink w:anchor="_ENREF_5" w:tooltip="Adeoye, 2014 #2" w:history="1">
        <w:r w:rsidR="00AF2A4C">
          <w:rPr>
            <w:rFonts w:ascii="Times New Roman" w:hAnsi="Times New Roman" w:cs="Times New Roman"/>
            <w:noProof/>
            <w:color w:val="0000CC"/>
            <w:sz w:val="20"/>
            <w:szCs w:val="20"/>
            <w:shd w:val="clear" w:color="auto" w:fill="FFFFFF"/>
          </w:rPr>
          <w:t>Adeoye and Saibu [5</w:t>
        </w:r>
      </w:hyperlink>
      <w:r w:rsidR="00BD5E2E">
        <w:rPr>
          <w:rFonts w:ascii="Times New Roman" w:hAnsi="Times New Roman" w:cs="Times New Roman"/>
          <w:noProof/>
          <w:color w:val="0000CC"/>
          <w:sz w:val="20"/>
          <w:szCs w:val="20"/>
          <w:shd w:val="clear" w:color="auto" w:fill="FFFFFF"/>
        </w:rPr>
        <w:t>]</w:t>
      </w:r>
      <w:r w:rsidR="00BD5E2E" w:rsidRPr="007D2DBC">
        <w:rPr>
          <w:rFonts w:ascii="Times New Roman" w:hAnsi="Times New Roman" w:cs="Times New Roman"/>
          <w:color w:val="0000CC"/>
          <w:sz w:val="20"/>
          <w:szCs w:val="20"/>
          <w:shd w:val="clear" w:color="auto" w:fill="FFFFFF"/>
        </w:rPr>
        <w:fldChar w:fldCharType="end"/>
      </w:r>
      <w:r w:rsidR="00FE00C6">
        <w:rPr>
          <w:rFonts w:ascii="Times New Roman" w:hAnsi="Times New Roman" w:cs="Times New Roman"/>
          <w:sz w:val="20"/>
          <w:szCs w:val="20"/>
          <w:shd w:val="clear" w:color="auto" w:fill="FFFFFF"/>
        </w:rPr>
        <w:t>;</w:t>
      </w:r>
      <w:r w:rsidRPr="004B7B66">
        <w:rPr>
          <w:rFonts w:ascii="Times New Roman" w:hAnsi="Times New Roman" w:cs="Times New Roman"/>
          <w:sz w:val="20"/>
          <w:szCs w:val="20"/>
          <w:shd w:val="clear" w:color="auto" w:fill="FFFFFF"/>
        </w:rPr>
        <w:t xml:space="preserve"> </w:t>
      </w:r>
      <w:r w:rsidR="00FF5836" w:rsidRPr="00FF5836">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AuthorYear="1"&gt;&lt;Author&gt;Saha&lt;/Author&gt;&lt;Year&gt;2014&lt;/Year&gt;&lt;RecNum&gt;32&lt;/RecNum&gt;&lt;DisplayText&gt;Saha and Biswas [28]&lt;/DisplayText&gt;&lt;record&gt;&lt;rec-number&gt;32&lt;/rec-number&gt;&lt;foreign-keys&gt;&lt;key app="EN" db-id="w02dva9072e097ez0eov2pwr9fvdzpzav5te"&gt;32&lt;/key&gt;&lt;/foreign-keys&gt;&lt;ref-type name="Journal Article"&gt;17&lt;/ref-type&gt;&lt;contributors&gt;&lt;authors&gt;&lt;author&gt;Saha, A. K.&lt;/author&gt;&lt;author&gt;Biswas, S.&lt;/author&gt;&lt;/authors&gt;&lt;/contributors&gt;&lt;titles&gt;&lt;title&gt;Macroeconomic fundamentals and exchange rate volatility during the floating exchange rate regime in India&lt;/title&gt;&lt;secondary-title&gt;International Journal of Economics &amp;amp; Management&lt;/secondary-title&gt;&lt;/titles&gt;&lt;pages&gt;10-39&lt;/pages&gt;&lt;volume&gt;8&lt;/volume&gt;&lt;number&gt;1&lt;/number&gt;&lt;dates&gt;&lt;year&gt;2014&lt;/year&gt;&lt;/dates&gt;&lt;isbn&gt;1823-836X&lt;/isbn&gt;&lt;urls&gt;&lt;/urls&gt;&lt;/record&gt;&lt;/Cite&gt;&lt;/EndNote&gt;</w:instrText>
      </w:r>
      <w:r w:rsidR="00FF5836" w:rsidRPr="00FF5836">
        <w:rPr>
          <w:rFonts w:ascii="Times New Roman" w:hAnsi="Times New Roman" w:cs="Times New Roman"/>
          <w:color w:val="0000CC"/>
          <w:sz w:val="20"/>
          <w:szCs w:val="20"/>
          <w:shd w:val="clear" w:color="auto" w:fill="FFFFFF"/>
        </w:rPr>
        <w:fldChar w:fldCharType="separate"/>
      </w:r>
      <w:hyperlink w:anchor="_ENREF_28" w:tooltip="Saha, 2014 #32" w:history="1">
        <w:r w:rsidR="00AF2A4C">
          <w:rPr>
            <w:rFonts w:ascii="Times New Roman" w:hAnsi="Times New Roman" w:cs="Times New Roman"/>
            <w:noProof/>
            <w:color w:val="0000CC"/>
            <w:sz w:val="20"/>
            <w:szCs w:val="20"/>
            <w:shd w:val="clear" w:color="auto" w:fill="FFFFFF"/>
          </w:rPr>
          <w:t>Saha and Biswas [28</w:t>
        </w:r>
      </w:hyperlink>
      <w:r w:rsidR="00FF5836">
        <w:rPr>
          <w:rFonts w:ascii="Times New Roman" w:hAnsi="Times New Roman" w:cs="Times New Roman"/>
          <w:noProof/>
          <w:color w:val="0000CC"/>
          <w:sz w:val="20"/>
          <w:szCs w:val="20"/>
          <w:shd w:val="clear" w:color="auto" w:fill="FFFFFF"/>
        </w:rPr>
        <w:t>]</w:t>
      </w:r>
      <w:r w:rsidR="00FF5836" w:rsidRPr="00FF5836">
        <w:rPr>
          <w:rFonts w:ascii="Times New Roman" w:hAnsi="Times New Roman" w:cs="Times New Roman"/>
          <w:color w:val="0000CC"/>
          <w:sz w:val="20"/>
          <w:szCs w:val="20"/>
          <w:shd w:val="clear" w:color="auto" w:fill="FFFFFF"/>
        </w:rPr>
        <w:fldChar w:fldCharType="end"/>
      </w:r>
      <w:r w:rsidR="00FE00C6">
        <w:rPr>
          <w:rFonts w:ascii="Times New Roman" w:hAnsi="Times New Roman" w:cs="Times New Roman"/>
          <w:sz w:val="20"/>
          <w:szCs w:val="20"/>
          <w:shd w:val="clear" w:color="auto" w:fill="FFFFFF"/>
        </w:rPr>
        <w:t>;</w:t>
      </w:r>
      <w:r w:rsidRPr="004B7B66">
        <w:rPr>
          <w:rFonts w:ascii="Times New Roman" w:hAnsi="Times New Roman" w:cs="Times New Roman"/>
          <w:sz w:val="20"/>
          <w:szCs w:val="20"/>
          <w:shd w:val="clear" w:color="auto" w:fill="FFFFFF"/>
        </w:rPr>
        <w:t xml:space="preserve"> </w:t>
      </w:r>
      <w:r w:rsidR="00FF5836" w:rsidRPr="00FF5836">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AuthorYear="1"&gt;&lt;Author&gt;Jabeen&lt;/Author&gt;&lt;Year&gt;2014&lt;/Year&gt;&lt;RecNum&gt;21&lt;/RecNum&gt;&lt;DisplayText&gt;Jabeen and Khan [31]&lt;/DisplayText&gt;&lt;record&gt;&lt;rec-number&gt;21&lt;/rec-number&gt;&lt;foreign-keys&gt;&lt;key app="EN" db-id="w02dva9072e097ez0eov2pwr9fvdzpzav5te"&gt;21&lt;/key&gt;&lt;/foreign-keys&gt;&lt;ref-type name="Journal Article"&gt;17&lt;/ref-type&gt;&lt;contributors&gt;&lt;authors&gt;&lt;author&gt;Jabeen, Munazza&lt;/author&gt;&lt;author&gt;Khan, Saud Ahmad&lt;/author&gt;&lt;/authors&gt;&lt;/contributors&gt;&lt;titles&gt;&lt;title&gt;Modelling exchange rate volatility by macroeconomic fundamentals in Pakistan&lt;/title&gt;&lt;secondary-title&gt;International Econometric Review&lt;/secondary-title&gt;&lt;/titles&gt;&lt;pages&gt;58-76&lt;/pages&gt;&lt;volume&gt;6&lt;/volume&gt;&lt;number&gt;2&lt;/number&gt;&lt;dates&gt;&lt;year&gt;2014&lt;/year&gt;&lt;/dates&gt;&lt;isbn&gt;1308-8793&lt;/isbn&gt;&lt;urls&gt;&lt;/urls&gt;&lt;electronic-resource-num&gt;https://doi.org/10.33818/ier.278035&lt;/electronic-resource-num&gt;&lt;/record&gt;&lt;/Cite&gt;&lt;/EndNote&gt;</w:instrText>
      </w:r>
      <w:r w:rsidR="00FF5836" w:rsidRPr="00FF5836">
        <w:rPr>
          <w:rFonts w:ascii="Times New Roman" w:hAnsi="Times New Roman" w:cs="Times New Roman"/>
          <w:color w:val="0000CC"/>
          <w:sz w:val="20"/>
          <w:szCs w:val="20"/>
          <w:shd w:val="clear" w:color="auto" w:fill="FFFFFF"/>
        </w:rPr>
        <w:fldChar w:fldCharType="separate"/>
      </w:r>
      <w:hyperlink w:anchor="_ENREF_31" w:tooltip="Jabeen, 2014 #21" w:history="1">
        <w:r w:rsidR="00AF2A4C">
          <w:rPr>
            <w:rFonts w:ascii="Times New Roman" w:hAnsi="Times New Roman" w:cs="Times New Roman"/>
            <w:noProof/>
            <w:color w:val="0000CC"/>
            <w:sz w:val="20"/>
            <w:szCs w:val="20"/>
            <w:shd w:val="clear" w:color="auto" w:fill="FFFFFF"/>
          </w:rPr>
          <w:t>Jabeen and Khan [31</w:t>
        </w:r>
      </w:hyperlink>
      <w:r w:rsidR="00FF5836">
        <w:rPr>
          <w:rFonts w:ascii="Times New Roman" w:hAnsi="Times New Roman" w:cs="Times New Roman"/>
          <w:noProof/>
          <w:color w:val="0000CC"/>
          <w:sz w:val="20"/>
          <w:szCs w:val="20"/>
          <w:shd w:val="clear" w:color="auto" w:fill="FFFFFF"/>
        </w:rPr>
        <w:t>]</w:t>
      </w:r>
      <w:r w:rsidR="00FF5836" w:rsidRPr="00FF5836">
        <w:rPr>
          <w:rFonts w:ascii="Times New Roman" w:hAnsi="Times New Roman" w:cs="Times New Roman"/>
          <w:color w:val="0000CC"/>
          <w:sz w:val="20"/>
          <w:szCs w:val="20"/>
          <w:shd w:val="clear" w:color="auto" w:fill="FFFFFF"/>
        </w:rPr>
        <w:fldChar w:fldCharType="end"/>
      </w:r>
      <w:r w:rsidRPr="004B7B66">
        <w:rPr>
          <w:rFonts w:ascii="Times New Roman" w:hAnsi="Times New Roman" w:cs="Times New Roman"/>
          <w:sz w:val="20"/>
          <w:szCs w:val="20"/>
          <w:shd w:val="clear" w:color="auto" w:fill="FFFFFF"/>
        </w:rPr>
        <w:t xml:space="preserve"> as well as </w:t>
      </w:r>
      <w:r w:rsidR="00FF5836" w:rsidRPr="00FF5836">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AuthorYear="1"&gt;&lt;Author&gt;Mirchandani&lt;/Author&gt;&lt;Year&gt;2013&lt;/Year&gt;&lt;RecNum&gt;27&lt;/RecNum&gt;&lt;DisplayText&gt;Mirchandani [29]&lt;/DisplayText&gt;&lt;record&gt;&lt;rec-number&gt;27&lt;/rec-number&gt;&lt;foreign-keys&gt;&lt;key app="EN" db-id="w02dva9072e097ez0eov2pwr9fvdzpzav5te"&gt;27&lt;/key&gt;&lt;/foreign-keys&gt;&lt;ref-type name="Journal Article"&gt;17&lt;/ref-type&gt;&lt;contributors&gt;&lt;authors&gt;&lt;author&gt;Mirchandani, Anita&lt;/author&gt;&lt;/authors&gt;&lt;/contributors&gt;&lt;titles&gt;&lt;title&gt;Analysis of macroeconomic determinants of exchange rate volatility in India&lt;/title&gt;&lt;secondary-title&gt;International Journal of Economics and Financial Issues&lt;/secondary-title&gt;&lt;/titles&gt;&lt;pages&gt;172-179&lt;/pages&gt;&lt;volume&gt;3&lt;/volume&gt;&lt;number&gt;1&lt;/number&gt;&lt;dates&gt;&lt;year&gt;2013&lt;/year&gt;&lt;/dates&gt;&lt;urls&gt;&lt;/urls&gt;&lt;/record&gt;&lt;/Cite&gt;&lt;/EndNote&gt;</w:instrText>
      </w:r>
      <w:r w:rsidR="00FF5836" w:rsidRPr="00FF5836">
        <w:rPr>
          <w:rFonts w:ascii="Times New Roman" w:hAnsi="Times New Roman" w:cs="Times New Roman"/>
          <w:color w:val="0000CC"/>
          <w:sz w:val="20"/>
          <w:szCs w:val="20"/>
          <w:shd w:val="clear" w:color="auto" w:fill="FFFFFF"/>
        </w:rPr>
        <w:fldChar w:fldCharType="separate"/>
      </w:r>
      <w:hyperlink w:anchor="_ENREF_29" w:tooltip="Mirchandani, 2013 #27" w:history="1">
        <w:r w:rsidR="00AF2A4C">
          <w:rPr>
            <w:rFonts w:ascii="Times New Roman" w:hAnsi="Times New Roman" w:cs="Times New Roman"/>
            <w:noProof/>
            <w:color w:val="0000CC"/>
            <w:sz w:val="20"/>
            <w:szCs w:val="20"/>
            <w:shd w:val="clear" w:color="auto" w:fill="FFFFFF"/>
          </w:rPr>
          <w:t>Mirchandani [29</w:t>
        </w:r>
      </w:hyperlink>
      <w:r w:rsidR="00FF5836">
        <w:rPr>
          <w:rFonts w:ascii="Times New Roman" w:hAnsi="Times New Roman" w:cs="Times New Roman"/>
          <w:noProof/>
          <w:color w:val="0000CC"/>
          <w:sz w:val="20"/>
          <w:szCs w:val="20"/>
          <w:shd w:val="clear" w:color="auto" w:fill="FFFFFF"/>
        </w:rPr>
        <w:t>]</w:t>
      </w:r>
      <w:r w:rsidR="00FF5836" w:rsidRPr="00FF5836">
        <w:rPr>
          <w:rFonts w:ascii="Times New Roman" w:hAnsi="Times New Roman" w:cs="Times New Roman"/>
          <w:color w:val="0000CC"/>
          <w:sz w:val="20"/>
          <w:szCs w:val="20"/>
          <w:shd w:val="clear" w:color="auto" w:fill="FFFFFF"/>
        </w:rPr>
        <w:fldChar w:fldCharType="end"/>
      </w:r>
      <w:r w:rsidRPr="004B7B66">
        <w:rPr>
          <w:rFonts w:ascii="Times New Roman" w:hAnsi="Times New Roman" w:cs="Times New Roman"/>
          <w:sz w:val="20"/>
          <w:szCs w:val="20"/>
          <w:shd w:val="clear" w:color="auto" w:fill="FFFFFF"/>
        </w:rPr>
        <w:t xml:space="preserve"> it is possible to determine the exchange rate volatility through output gap, money per </w:t>
      </w:r>
      <w:r w:rsidR="00CA4577">
        <w:rPr>
          <w:rFonts w:ascii="Times New Roman" w:hAnsi="Times New Roman" w:cs="Times New Roman"/>
          <w:sz w:val="20"/>
          <w:szCs w:val="20"/>
          <w:shd w:val="clear" w:color="auto" w:fill="FFFFFF"/>
        </w:rPr>
        <w:t xml:space="preserve">growth </w:t>
      </w:r>
      <w:r w:rsidR="00CA4577" w:rsidRPr="00B90F30">
        <w:rPr>
          <w:rFonts w:ascii="Times New Roman" w:hAnsi="Times New Roman" w:cs="Times New Roman"/>
          <w:sz w:val="20"/>
          <w:szCs w:val="20"/>
          <w:shd w:val="clear" w:color="auto" w:fill="FFFFFF"/>
        </w:rPr>
        <w:t>domestic product (</w:t>
      </w:r>
      <w:r w:rsidRPr="00B90F30">
        <w:rPr>
          <w:rFonts w:ascii="Times New Roman" w:hAnsi="Times New Roman" w:cs="Times New Roman"/>
          <w:sz w:val="20"/>
          <w:szCs w:val="20"/>
          <w:shd w:val="clear" w:color="auto" w:fill="FFFFFF"/>
        </w:rPr>
        <w:t>GDP</w:t>
      </w:r>
      <w:r w:rsidR="00CA4577" w:rsidRPr="00B90F30">
        <w:rPr>
          <w:rFonts w:ascii="Times New Roman" w:hAnsi="Times New Roman" w:cs="Times New Roman"/>
          <w:sz w:val="20"/>
          <w:szCs w:val="20"/>
          <w:shd w:val="clear" w:color="auto" w:fill="FFFFFF"/>
        </w:rPr>
        <w:t>)</w:t>
      </w:r>
      <w:r w:rsidRPr="00B90F30">
        <w:rPr>
          <w:rFonts w:ascii="Times New Roman" w:hAnsi="Times New Roman" w:cs="Times New Roman"/>
          <w:sz w:val="20"/>
          <w:szCs w:val="20"/>
          <w:shd w:val="clear" w:color="auto" w:fill="FFFFFF"/>
        </w:rPr>
        <w:t xml:space="preserve">, </w:t>
      </w:r>
      <w:r w:rsidRPr="004B7B66">
        <w:rPr>
          <w:rFonts w:ascii="Times New Roman" w:hAnsi="Times New Roman" w:cs="Times New Roman"/>
          <w:sz w:val="20"/>
          <w:szCs w:val="20"/>
          <w:shd w:val="clear" w:color="auto" w:fill="FFFFFF"/>
        </w:rPr>
        <w:t>and credit gap.</w:t>
      </w:r>
    </w:p>
    <w:p w14:paraId="0139C9FE" w14:textId="2D4ADC04" w:rsidR="004B7B66" w:rsidRPr="004B7B66" w:rsidRDefault="004B7B66" w:rsidP="00293371">
      <w:pPr>
        <w:spacing w:after="0" w:line="240" w:lineRule="auto"/>
        <w:ind w:firstLine="360"/>
        <w:jc w:val="both"/>
        <w:rPr>
          <w:rFonts w:ascii="Times New Roman" w:hAnsi="Times New Roman" w:cs="Times New Roman"/>
          <w:sz w:val="20"/>
          <w:szCs w:val="20"/>
          <w:shd w:val="clear" w:color="auto" w:fill="FFFFFF"/>
        </w:rPr>
      </w:pPr>
      <w:r w:rsidRPr="004B7B66">
        <w:rPr>
          <w:rFonts w:ascii="Times New Roman" w:hAnsi="Times New Roman" w:cs="Times New Roman"/>
          <w:sz w:val="20"/>
          <w:szCs w:val="20"/>
          <w:shd w:val="clear" w:color="auto" w:fill="FFFFFF"/>
        </w:rPr>
        <w:t xml:space="preserve">This paper closes with </w:t>
      </w:r>
      <w:r w:rsidR="00FF5836" w:rsidRPr="00FF5836">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AuthorYear="1"&gt;&lt;Author&gt;Kuncoro&lt;/Author&gt;&lt;Year&gt;2020&lt;/Year&gt;&lt;RecNum&gt;24&lt;/RecNum&gt;&lt;DisplayText&gt;Kuncoro [25]&lt;/DisplayText&gt;&lt;record&gt;&lt;rec-number&gt;24&lt;/rec-number&gt;&lt;foreign-keys&gt;&lt;key app="EN" db-id="w02dva9072e097ez0eov2pwr9fvdzpzav5te"&gt;24&lt;/key&gt;&lt;/foreign-keys&gt;&lt;ref-type name="Journal Article"&gt;17&lt;/ref-type&gt;&lt;contributors&gt;&lt;authors&gt;&lt;author&gt;Kuncoro, Haryo&lt;/author&gt;&lt;/authors&gt;&lt;/contributors&gt;&lt;titles&gt;&lt;title&gt;Interest rate policy and exchange rates volatility lessons from Indonesia&lt;/title&gt;&lt;secondary-title&gt;Journal of Central Banking Theory and Practice&lt;/secondary-title&gt;&lt;/titles&gt;&lt;pages&gt;19-42&lt;/pages&gt;&lt;volume&gt;9&lt;/volume&gt;&lt;number&gt;2&lt;/number&gt;&lt;dates&gt;&lt;year&gt;2020&lt;/year&gt;&lt;/dates&gt;&lt;urls&gt;&lt;/urls&gt;&lt;electronic-resource-num&gt;https://doi.org/10.2478/jcbtp-2020-0012&lt;/electronic-resource-num&gt;&lt;/record&gt;&lt;/Cite&gt;&lt;/EndNote&gt;</w:instrText>
      </w:r>
      <w:r w:rsidR="00FF5836" w:rsidRPr="00FF5836">
        <w:rPr>
          <w:rFonts w:ascii="Times New Roman" w:hAnsi="Times New Roman" w:cs="Times New Roman"/>
          <w:color w:val="0000CC"/>
          <w:sz w:val="20"/>
          <w:szCs w:val="20"/>
          <w:shd w:val="clear" w:color="auto" w:fill="FFFFFF"/>
        </w:rPr>
        <w:fldChar w:fldCharType="separate"/>
      </w:r>
      <w:hyperlink w:anchor="_ENREF_25" w:tooltip="Kuncoro, 2020 #24" w:history="1">
        <w:r w:rsidR="00AF2A4C">
          <w:rPr>
            <w:rFonts w:ascii="Times New Roman" w:hAnsi="Times New Roman" w:cs="Times New Roman"/>
            <w:noProof/>
            <w:color w:val="0000CC"/>
            <w:sz w:val="20"/>
            <w:szCs w:val="20"/>
            <w:shd w:val="clear" w:color="auto" w:fill="FFFFFF"/>
          </w:rPr>
          <w:t>Kuncoro [25</w:t>
        </w:r>
      </w:hyperlink>
      <w:r w:rsidR="00FF5836">
        <w:rPr>
          <w:rFonts w:ascii="Times New Roman" w:hAnsi="Times New Roman" w:cs="Times New Roman"/>
          <w:noProof/>
          <w:color w:val="0000CC"/>
          <w:sz w:val="20"/>
          <w:szCs w:val="20"/>
          <w:shd w:val="clear" w:color="auto" w:fill="FFFFFF"/>
        </w:rPr>
        <w:t>]</w:t>
      </w:r>
      <w:r w:rsidR="00FF5836" w:rsidRPr="00FF5836">
        <w:rPr>
          <w:rFonts w:ascii="Times New Roman" w:hAnsi="Times New Roman" w:cs="Times New Roman"/>
          <w:color w:val="0000CC"/>
          <w:sz w:val="20"/>
          <w:szCs w:val="20"/>
          <w:shd w:val="clear" w:color="auto" w:fill="FFFFFF"/>
        </w:rPr>
        <w:fldChar w:fldCharType="end"/>
      </w:r>
      <w:r w:rsidRPr="004B7B66">
        <w:rPr>
          <w:rFonts w:ascii="Times New Roman" w:hAnsi="Times New Roman" w:cs="Times New Roman"/>
          <w:sz w:val="20"/>
          <w:szCs w:val="20"/>
          <w:shd w:val="clear" w:color="auto" w:fill="FFFFFF"/>
        </w:rPr>
        <w:t xml:space="preserve"> regarding the effect of interest rate on exchange rate volatility. However, this paper extends the Indonesia Rupiah volatility not only against </w:t>
      </w:r>
      <w:r w:rsidR="004C0B1E">
        <w:rPr>
          <w:rFonts w:ascii="Times New Roman" w:hAnsi="Times New Roman" w:cs="Times New Roman"/>
          <w:sz w:val="20"/>
          <w:szCs w:val="20"/>
          <w:shd w:val="clear" w:color="auto" w:fill="FFFFFF"/>
        </w:rPr>
        <w:t xml:space="preserve">the </w:t>
      </w:r>
      <w:r w:rsidRPr="004B7B66">
        <w:rPr>
          <w:rFonts w:ascii="Times New Roman" w:hAnsi="Times New Roman" w:cs="Times New Roman"/>
          <w:sz w:val="20"/>
          <w:szCs w:val="20"/>
          <w:shd w:val="clear" w:color="auto" w:fill="FFFFFF"/>
        </w:rPr>
        <w:t xml:space="preserve">US dollar but also against four other foreign exchange rates, namely </w:t>
      </w:r>
      <w:r w:rsidR="004C0B1E">
        <w:rPr>
          <w:rFonts w:ascii="Times New Roman" w:hAnsi="Times New Roman" w:cs="Times New Roman"/>
          <w:sz w:val="20"/>
          <w:szCs w:val="20"/>
          <w:shd w:val="clear" w:color="auto" w:fill="FFFFFF"/>
        </w:rPr>
        <w:t xml:space="preserve">the </w:t>
      </w:r>
      <w:r w:rsidRPr="004B7B66">
        <w:rPr>
          <w:rFonts w:ascii="Times New Roman" w:hAnsi="Times New Roman" w:cs="Times New Roman"/>
          <w:sz w:val="20"/>
          <w:szCs w:val="20"/>
          <w:shd w:val="clear" w:color="auto" w:fill="FFFFFF"/>
        </w:rPr>
        <w:t>Singaporean Dollar, Australia Dollar, as well as Pound Sterling and Euro. Another</w:t>
      </w:r>
      <w:r w:rsidR="004C0B1E">
        <w:rPr>
          <w:rFonts w:ascii="Times New Roman" w:hAnsi="Times New Roman" w:cs="Times New Roman"/>
          <w:sz w:val="20"/>
          <w:szCs w:val="20"/>
          <w:shd w:val="clear" w:color="auto" w:fill="FFFFFF"/>
        </w:rPr>
        <w:t xml:space="preserve"> </w:t>
      </w:r>
      <w:r w:rsidRPr="004B7B66">
        <w:rPr>
          <w:rFonts w:ascii="Times New Roman" w:hAnsi="Times New Roman" w:cs="Times New Roman"/>
          <w:sz w:val="20"/>
          <w:szCs w:val="20"/>
          <w:shd w:val="clear" w:color="auto" w:fill="FFFFFF"/>
        </w:rPr>
        <w:t xml:space="preserve">focus is on adding to the literature on the relationship between the central bank policy rate and domestic currency volatility with emphasis on the short and long-run effects </w:t>
      </w:r>
      <w:r w:rsidR="00C87C9C">
        <w:rPr>
          <w:rFonts w:ascii="Times New Roman" w:hAnsi="Times New Roman" w:cs="Times New Roman"/>
          <w:sz w:val="20"/>
          <w:szCs w:val="20"/>
          <w:shd w:val="clear" w:color="auto" w:fill="FFFFFF"/>
        </w:rPr>
        <w:t>of</w:t>
      </w:r>
      <w:r w:rsidRPr="004B7B66">
        <w:rPr>
          <w:rFonts w:ascii="Times New Roman" w:hAnsi="Times New Roman" w:cs="Times New Roman"/>
          <w:sz w:val="20"/>
          <w:szCs w:val="20"/>
          <w:shd w:val="clear" w:color="auto" w:fill="FFFFFF"/>
        </w:rPr>
        <w:t xml:space="preserve"> these variables. This was motivated by the fact that Indonesia is an emerging economy that uses a floating exchange rate and has a volatile and unstable rupiah currency against </w:t>
      </w:r>
      <w:proofErr w:type="spellStart"/>
      <w:r w:rsidRPr="004B7B66">
        <w:rPr>
          <w:rFonts w:ascii="Times New Roman" w:hAnsi="Times New Roman" w:cs="Times New Roman"/>
          <w:sz w:val="20"/>
          <w:szCs w:val="20"/>
          <w:shd w:val="clear" w:color="auto" w:fill="FFFFFF"/>
        </w:rPr>
        <w:t>USDollar</w:t>
      </w:r>
      <w:proofErr w:type="spellEnd"/>
      <w:r w:rsidRPr="004B7B66">
        <w:rPr>
          <w:rFonts w:ascii="Times New Roman" w:hAnsi="Times New Roman" w:cs="Times New Roman"/>
          <w:sz w:val="20"/>
          <w:szCs w:val="20"/>
          <w:shd w:val="clear" w:color="auto" w:fill="FFFFFF"/>
        </w:rPr>
        <w:t xml:space="preserve">, which causes a negative effect on the country’s macroeconomic stability </w:t>
      </w:r>
      <w:r w:rsidR="00097B4B" w:rsidRPr="00097B4B">
        <w:rPr>
          <w:rFonts w:ascii="Times New Roman" w:hAnsi="Times New Roman" w:cs="Times New Roman"/>
          <w:color w:val="0000CC"/>
          <w:sz w:val="20"/>
          <w:szCs w:val="20"/>
          <w:shd w:val="clear" w:color="auto" w:fill="FFFFFF"/>
        </w:rPr>
        <w:fldChar w:fldCharType="begin">
          <w:fldData xml:space="preserve">PEVuZE5vdGU+PENpdGU+PEF1dGhvcj5CZXJ0YXNpdXRlPC9BdXRob3I+PFllYXI+MjAyMDwvWWVh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</w:fldData>
        </w:fldChar>
      </w:r>
      <w:r w:rsidR="00AF2A4C">
        <w:rPr>
          <w:rFonts w:ascii="Times New Roman" w:hAnsi="Times New Roman" w:cs="Times New Roman"/>
          <w:color w:val="0000CC"/>
          <w:sz w:val="20"/>
          <w:szCs w:val="20"/>
          <w:shd w:val="clear" w:color="auto" w:fill="FFFFFF"/>
        </w:rPr>
        <w:instrText xml:space="preserve"> ADDIN EN.CITE </w:instrText>
      </w:r>
      <w:r w:rsidR="00AF2A4C">
        <w:rPr>
          <w:rFonts w:ascii="Times New Roman" w:hAnsi="Times New Roman" w:cs="Times New Roman"/>
          <w:color w:val="0000CC"/>
          <w:sz w:val="20"/>
          <w:szCs w:val="20"/>
          <w:shd w:val="clear" w:color="auto" w:fill="FFFFFF"/>
        </w:rPr>
        <w:fldChar w:fldCharType="begin">
          <w:fldData xml:space="preserve">PEVuZE5vdGU+PENpdGU+PEF1dGhvcj5CZXJ0YXNpdXRlPC9BdXRob3I+PFllYXI+MjAyMDwvWWVh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</w:fldData>
        </w:fldChar>
      </w:r>
      <w:r w:rsidR="00AF2A4C">
        <w:rPr>
          <w:rFonts w:ascii="Times New Roman" w:hAnsi="Times New Roman" w:cs="Times New Roman"/>
          <w:color w:val="0000CC"/>
          <w:sz w:val="20"/>
          <w:szCs w:val="20"/>
          <w:shd w:val="clear" w:color="auto" w:fill="FFFFFF"/>
        </w:rPr>
        <w:instrText xml:space="preserve"> ADDIN EN.CITE.DATA </w:instrText>
      </w:r>
      <w:r w:rsidR="00AF2A4C">
        <w:rPr>
          <w:rFonts w:ascii="Times New Roman" w:hAnsi="Times New Roman" w:cs="Times New Roman"/>
          <w:color w:val="0000CC"/>
          <w:sz w:val="20"/>
          <w:szCs w:val="20"/>
          <w:shd w:val="clear" w:color="auto" w:fill="FFFFFF"/>
        </w:rPr>
      </w:r>
      <w:r w:rsidR="00AF2A4C">
        <w:rPr>
          <w:rFonts w:ascii="Times New Roman" w:hAnsi="Times New Roman" w:cs="Times New Roman"/>
          <w:color w:val="0000CC"/>
          <w:sz w:val="20"/>
          <w:szCs w:val="20"/>
          <w:shd w:val="clear" w:color="auto" w:fill="FFFFFF"/>
        </w:rPr>
        <w:fldChar w:fldCharType="end"/>
      </w:r>
      <w:r w:rsidR="00097B4B" w:rsidRPr="00097B4B">
        <w:rPr>
          <w:rFonts w:ascii="Times New Roman" w:hAnsi="Times New Roman" w:cs="Times New Roman"/>
          <w:color w:val="0000CC"/>
          <w:sz w:val="20"/>
          <w:szCs w:val="20"/>
          <w:shd w:val="clear" w:color="auto" w:fill="FFFFFF"/>
        </w:rPr>
      </w:r>
      <w:r w:rsidR="00097B4B" w:rsidRPr="00097B4B">
        <w:rPr>
          <w:rFonts w:ascii="Times New Roman" w:hAnsi="Times New Roman" w:cs="Times New Roman"/>
          <w:color w:val="0000CC"/>
          <w:sz w:val="20"/>
          <w:szCs w:val="20"/>
          <w:shd w:val="clear" w:color="auto" w:fill="FFFFFF"/>
        </w:rPr>
        <w:fldChar w:fldCharType="separate"/>
      </w:r>
      <w:r w:rsidR="00097B4B">
        <w:rPr>
          <w:rFonts w:ascii="Times New Roman" w:hAnsi="Times New Roman" w:cs="Times New Roman"/>
          <w:noProof/>
          <w:color w:val="0000CC"/>
          <w:sz w:val="20"/>
          <w:szCs w:val="20"/>
          <w:shd w:val="clear" w:color="auto" w:fill="FFFFFF"/>
        </w:rPr>
        <w:t>[</w:t>
      </w:r>
      <w:hyperlink w:anchor="_ENREF_32" w:tooltip="Bertasiute, 2020 #6" w:history="1">
        <w:r w:rsidR="00AF2A4C">
          <w:rPr>
            <w:rFonts w:ascii="Times New Roman" w:hAnsi="Times New Roman" w:cs="Times New Roman"/>
            <w:noProof/>
            <w:color w:val="0000CC"/>
            <w:sz w:val="20"/>
            <w:szCs w:val="20"/>
            <w:shd w:val="clear" w:color="auto" w:fill="FFFFFF"/>
          </w:rPr>
          <w:t>32-34</w:t>
        </w:r>
      </w:hyperlink>
      <w:r w:rsidR="00097B4B">
        <w:rPr>
          <w:rFonts w:ascii="Times New Roman" w:hAnsi="Times New Roman" w:cs="Times New Roman"/>
          <w:noProof/>
          <w:color w:val="0000CC"/>
          <w:sz w:val="20"/>
          <w:szCs w:val="20"/>
          <w:shd w:val="clear" w:color="auto" w:fill="FFFFFF"/>
        </w:rPr>
        <w:t>]</w:t>
      </w:r>
      <w:r w:rsidR="00097B4B" w:rsidRPr="00097B4B">
        <w:rPr>
          <w:rFonts w:ascii="Times New Roman" w:hAnsi="Times New Roman" w:cs="Times New Roman"/>
          <w:color w:val="0000CC"/>
          <w:sz w:val="20"/>
          <w:szCs w:val="20"/>
          <w:shd w:val="clear" w:color="auto" w:fill="FFFFFF"/>
        </w:rPr>
        <w:fldChar w:fldCharType="end"/>
      </w:r>
      <w:r w:rsidRPr="004B7B66">
        <w:rPr>
          <w:rFonts w:ascii="Times New Roman" w:hAnsi="Times New Roman" w:cs="Times New Roman"/>
          <w:sz w:val="20"/>
          <w:szCs w:val="20"/>
          <w:shd w:val="clear" w:color="auto" w:fill="FFFFFF"/>
        </w:rPr>
        <w:t xml:space="preserve">. This study contributes by finding the determinant of Indonesian currency volatility to provide the monetary policymaker with the necessary information to prevent further volatility. </w:t>
      </w:r>
    </w:p>
    <w:p w14:paraId="0033FFD6" w14:textId="6C1F07C9" w:rsidR="004B7B66" w:rsidRPr="004B7B66" w:rsidRDefault="004B7B66" w:rsidP="00293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sz w:val="20"/>
          <w:szCs w:val="20"/>
          <w:lang w:val="en-GB" w:eastAsia="en-GB"/>
        </w:rPr>
      </w:pPr>
      <w:r w:rsidRPr="004B7B66">
        <w:rPr>
          <w:rFonts w:ascii="Times New Roman" w:eastAsia="Times New Roman" w:hAnsi="Times New Roman" w:cs="Times New Roman"/>
          <w:sz w:val="20"/>
          <w:szCs w:val="20"/>
          <w:lang w:val="en-GB" w:eastAsia="en-GB"/>
        </w:rPr>
        <w:t>In this</w:t>
      </w:r>
      <w:r w:rsidR="00545CD2">
        <w:rPr>
          <w:rFonts w:ascii="Times New Roman" w:eastAsia="Times New Roman" w:hAnsi="Times New Roman" w:cs="Times New Roman"/>
          <w:sz w:val="20"/>
          <w:szCs w:val="20"/>
          <w:lang w:val="en-GB" w:eastAsia="en-GB"/>
        </w:rPr>
        <w:t xml:space="preserve"> </w:t>
      </w:r>
      <w:r w:rsidRPr="004B7B66">
        <w:rPr>
          <w:rFonts w:ascii="Times New Roman" w:eastAsia="Times New Roman" w:hAnsi="Times New Roman" w:cs="Times New Roman"/>
          <w:sz w:val="20"/>
          <w:szCs w:val="20"/>
          <w:lang w:val="en-GB" w:eastAsia="en-GB"/>
        </w:rPr>
        <w:t xml:space="preserve">study, to establish the short- and long-run effects of </w:t>
      </w:r>
      <w:r w:rsidR="00887493">
        <w:rPr>
          <w:rFonts w:ascii="Times New Roman" w:eastAsia="Times New Roman" w:hAnsi="Times New Roman" w:cs="Times New Roman"/>
          <w:sz w:val="20"/>
          <w:szCs w:val="20"/>
          <w:lang w:val="en-GB" w:eastAsia="en-GB"/>
        </w:rPr>
        <w:t xml:space="preserve">the </w:t>
      </w:r>
      <w:r w:rsidRPr="004B7B66">
        <w:rPr>
          <w:rFonts w:ascii="Times New Roman" w:eastAsia="Times New Roman" w:hAnsi="Times New Roman" w:cs="Times New Roman"/>
          <w:sz w:val="20"/>
          <w:szCs w:val="20"/>
          <w:lang w:val="en-GB" w:eastAsia="en-GB"/>
        </w:rPr>
        <w:t xml:space="preserve">central bank policy rate on exchange rate volatility, an Autoregressive Distribution Lag </w:t>
      </w:r>
      <w:r w:rsidRPr="004B7B66">
        <w:rPr>
          <w:rFonts w:ascii="Times New Roman" w:hAnsi="Times New Roman" w:cs="Times New Roman"/>
          <w:sz w:val="20"/>
          <w:szCs w:val="20"/>
          <w:shd w:val="clear" w:color="auto" w:fill="FFFFFF"/>
        </w:rPr>
        <w:t xml:space="preserve">(ARDL) </w:t>
      </w:r>
      <w:r w:rsidRPr="004B7B66">
        <w:rPr>
          <w:rFonts w:ascii="Times New Roman" w:eastAsia="Times New Roman" w:hAnsi="Times New Roman" w:cs="Times New Roman"/>
          <w:sz w:val="20"/>
          <w:szCs w:val="20"/>
          <w:lang w:val="en-GB" w:eastAsia="en-GB"/>
        </w:rPr>
        <w:t xml:space="preserve">estimation was used, which was developed by </w:t>
      </w:r>
      <w:r w:rsidR="00097B4B" w:rsidRPr="00097B4B">
        <w:rPr>
          <w:rFonts w:ascii="Times New Roman" w:eastAsia="Times New Roman" w:hAnsi="Times New Roman" w:cs="Times New Roman"/>
          <w:color w:val="0000CC"/>
          <w:sz w:val="20"/>
          <w:szCs w:val="20"/>
          <w:lang w:val="en-GB" w:eastAsia="en-GB"/>
        </w:rPr>
        <w:fldChar w:fldCharType="begin"/>
      </w:r>
      <w:r w:rsidR="00AF2A4C">
        <w:rPr>
          <w:rFonts w:ascii="Times New Roman" w:eastAsia="Times New Roman" w:hAnsi="Times New Roman" w:cs="Times New Roman"/>
          <w:color w:val="0000CC"/>
          <w:sz w:val="20"/>
          <w:szCs w:val="20"/>
          <w:lang w:val="en-GB" w:eastAsia="en-GB"/>
        </w:rPr>
        <w:instrText xml:space="preserve"> ADDIN EN.CITE &lt;EndNote&gt;&lt;Cite AuthorYear="1"&gt;&lt;Author&gt;Wickens&lt;/Author&gt;&lt;Year&gt;1988&lt;/Year&gt;&lt;RecNum&gt;40&lt;/RecNum&gt;&lt;DisplayText&gt;Wickens and Breusch [35]&lt;/DisplayText&gt;&lt;record&gt;&lt;rec-number&gt;40&lt;/rec-number&gt;&lt;foreign-keys&gt;&lt;key app="EN" db-id="w02dva9072e097ez0eov2pwr9fvdzpzav5te"&gt;40&lt;/key&gt;&lt;/foreign-keys&gt;&lt;ref-type name="Journal Article"&gt;17&lt;/ref-type&gt;&lt;contributors&gt;&lt;authors&gt;&lt;author&gt;Wickens, Michael R&lt;/author&gt;&lt;author&gt;Breusch, Trevor S&lt;/author&gt;&lt;/authors&gt;&lt;/contributors&gt;&lt;titles&gt;&lt;title&gt;Dynamic specification, the long-run and the estimation of transformed regression models&lt;/title&gt;&lt;secondary-title&gt;The Economic Journal&lt;/secondary-title&gt;&lt;/titles&gt;&lt;pages&gt;189-205&lt;/pages&gt;&lt;volume&gt;98&lt;/volume&gt;&lt;number&gt;390&lt;/number&gt;&lt;dates&gt;&lt;year&gt;1988&lt;/year&gt;&lt;/dates&gt;&lt;isbn&gt;0013-0133&lt;/isbn&gt;&lt;urls&gt;&lt;/urls&gt;&lt;electronic-resource-num&gt;https://doi.org/10.2307/2233314&lt;/electronic-resource-num&gt;&lt;/record&gt;&lt;/Cite&gt;&lt;/EndNote&gt;</w:instrText>
      </w:r>
      <w:r w:rsidR="00097B4B" w:rsidRPr="00097B4B">
        <w:rPr>
          <w:rFonts w:ascii="Times New Roman" w:eastAsia="Times New Roman" w:hAnsi="Times New Roman" w:cs="Times New Roman"/>
          <w:color w:val="0000CC"/>
          <w:sz w:val="20"/>
          <w:szCs w:val="20"/>
          <w:lang w:val="en-GB" w:eastAsia="en-GB"/>
        </w:rPr>
        <w:fldChar w:fldCharType="separate"/>
      </w:r>
      <w:hyperlink w:anchor="_ENREF_35" w:tooltip="Wickens, 1988 #40" w:history="1">
        <w:r w:rsidR="00AF2A4C">
          <w:rPr>
            <w:rFonts w:ascii="Times New Roman" w:eastAsia="Times New Roman" w:hAnsi="Times New Roman" w:cs="Times New Roman"/>
            <w:noProof/>
            <w:color w:val="0000CC"/>
            <w:sz w:val="20"/>
            <w:szCs w:val="20"/>
            <w:lang w:val="en-GB" w:eastAsia="en-GB"/>
          </w:rPr>
          <w:t>Wickens and Breusch [35</w:t>
        </w:r>
      </w:hyperlink>
      <w:r w:rsidR="00097B4B">
        <w:rPr>
          <w:rFonts w:ascii="Times New Roman" w:eastAsia="Times New Roman" w:hAnsi="Times New Roman" w:cs="Times New Roman"/>
          <w:noProof/>
          <w:color w:val="0000CC"/>
          <w:sz w:val="20"/>
          <w:szCs w:val="20"/>
          <w:lang w:val="en-GB" w:eastAsia="en-GB"/>
        </w:rPr>
        <w:t>]</w:t>
      </w:r>
      <w:r w:rsidR="00097B4B" w:rsidRPr="00097B4B">
        <w:rPr>
          <w:rFonts w:ascii="Times New Roman" w:eastAsia="Times New Roman" w:hAnsi="Times New Roman" w:cs="Times New Roman"/>
          <w:color w:val="0000CC"/>
          <w:sz w:val="20"/>
          <w:szCs w:val="20"/>
          <w:lang w:val="en-GB" w:eastAsia="en-GB"/>
        </w:rPr>
        <w:fldChar w:fldCharType="end"/>
      </w:r>
      <w:r w:rsidRPr="004B7B66">
        <w:rPr>
          <w:rFonts w:ascii="Times New Roman" w:eastAsia="Times New Roman" w:hAnsi="Times New Roman" w:cs="Times New Roman"/>
          <w:sz w:val="20"/>
          <w:szCs w:val="20"/>
          <w:lang w:val="en-GB" w:eastAsia="en-GB"/>
        </w:rPr>
        <w:t xml:space="preserve">. The results found the error correction term to be statistically significant with a negative sign. This means there is a long-run </w:t>
      </w:r>
      <w:r w:rsidRPr="00B90F30">
        <w:rPr>
          <w:rFonts w:ascii="Times New Roman" w:eastAsia="Times New Roman" w:hAnsi="Times New Roman" w:cs="Times New Roman"/>
          <w:sz w:val="20"/>
          <w:szCs w:val="20"/>
          <w:lang w:val="en-GB" w:eastAsia="en-GB"/>
        </w:rPr>
        <w:t xml:space="preserve">relationship between domestic currency volatility and its main determinants with the coefficients of </w:t>
      </w:r>
      <w:r w:rsidR="00CA4577" w:rsidRPr="00B90F30">
        <w:rPr>
          <w:rFonts w:ascii="Times New Roman" w:eastAsia="Times New Roman" w:hAnsi="Times New Roman" w:cs="Times New Roman"/>
          <w:sz w:val="20"/>
          <w:szCs w:val="20"/>
          <w:lang w:val="en-GB" w:eastAsia="en-GB"/>
        </w:rPr>
        <w:t>error correction term (</w:t>
      </w:r>
      <w:r w:rsidRPr="00B90F30">
        <w:rPr>
          <w:rFonts w:ascii="Times New Roman" w:eastAsia="Times New Roman" w:hAnsi="Times New Roman" w:cs="Times New Roman"/>
          <w:sz w:val="20"/>
          <w:szCs w:val="20"/>
          <w:lang w:val="en-GB" w:eastAsia="en-GB"/>
        </w:rPr>
        <w:t>ECT</w:t>
      </w:r>
      <w:r w:rsidR="00CA4577" w:rsidRPr="00B90F30">
        <w:rPr>
          <w:rFonts w:ascii="Times New Roman" w:eastAsia="Times New Roman" w:hAnsi="Times New Roman" w:cs="Times New Roman"/>
          <w:sz w:val="20"/>
          <w:szCs w:val="20"/>
          <w:lang w:val="en-GB" w:eastAsia="en-GB"/>
        </w:rPr>
        <w:t>)</w:t>
      </w:r>
      <w:r w:rsidRPr="00B90F30">
        <w:rPr>
          <w:rFonts w:ascii="Times New Roman" w:eastAsia="Times New Roman" w:hAnsi="Times New Roman" w:cs="Times New Roman"/>
          <w:sz w:val="20"/>
          <w:szCs w:val="20"/>
          <w:lang w:val="en-GB" w:eastAsia="en-GB"/>
        </w:rPr>
        <w:t xml:space="preserve"> found </w:t>
      </w:r>
      <w:r w:rsidRPr="004B7B66">
        <w:rPr>
          <w:rFonts w:ascii="Times New Roman" w:eastAsia="Times New Roman" w:hAnsi="Times New Roman" w:cs="Times New Roman"/>
          <w:sz w:val="20"/>
          <w:szCs w:val="20"/>
          <w:lang w:val="en-GB" w:eastAsia="en-GB"/>
        </w:rPr>
        <w:t>to be in the range of -0.4424 to -0.5647. Also,</w:t>
      </w:r>
      <w:r w:rsidR="00545CD2">
        <w:rPr>
          <w:rFonts w:ascii="Times New Roman" w:eastAsia="Times New Roman" w:hAnsi="Times New Roman" w:cs="Times New Roman"/>
          <w:sz w:val="20"/>
          <w:szCs w:val="20"/>
          <w:lang w:val="en-GB" w:eastAsia="en-GB"/>
        </w:rPr>
        <w:t xml:space="preserve"> </w:t>
      </w:r>
      <w:r w:rsidR="00887493">
        <w:rPr>
          <w:rFonts w:ascii="Times New Roman" w:eastAsia="Times New Roman" w:hAnsi="Times New Roman" w:cs="Times New Roman"/>
          <w:sz w:val="20"/>
          <w:szCs w:val="20"/>
          <w:lang w:val="en-GB" w:eastAsia="en-GB"/>
        </w:rPr>
        <w:t xml:space="preserve">the </w:t>
      </w:r>
      <w:r w:rsidRPr="004B7B66">
        <w:rPr>
          <w:rFonts w:ascii="Times New Roman" w:eastAsia="Times New Roman" w:hAnsi="Times New Roman" w:cs="Times New Roman"/>
          <w:sz w:val="20"/>
          <w:szCs w:val="20"/>
          <w:lang w:val="en-GB" w:eastAsia="en-GB"/>
        </w:rPr>
        <w:t xml:space="preserve">central bank policy rate and credit gap were found to have a positive and significant influence on the volatility of the exchange rate for the long-run estimation while the output gap and money per GDP have a negative effect. The findings from the short-run estimation showed central bank policy rate and credit gap have a positive and significant influence on domestic currency volatility in all models. Meanwhile, the output gap and money per GDP have an insignificant influence on domestic currency volatility in all models. In addition, the Full Modified Ordinary Least Square estimation was used for </w:t>
      </w:r>
      <w:r w:rsidR="00545CD2">
        <w:rPr>
          <w:rFonts w:ascii="Times New Roman" w:eastAsia="Times New Roman" w:hAnsi="Times New Roman" w:cs="Times New Roman"/>
          <w:sz w:val="20"/>
          <w:szCs w:val="20"/>
          <w:lang w:val="en-GB" w:eastAsia="en-GB"/>
        </w:rPr>
        <w:t xml:space="preserve">a </w:t>
      </w:r>
      <w:r w:rsidRPr="004B7B66">
        <w:rPr>
          <w:rFonts w:ascii="Times New Roman" w:eastAsia="Times New Roman" w:hAnsi="Times New Roman" w:cs="Times New Roman"/>
          <w:sz w:val="20"/>
          <w:szCs w:val="20"/>
          <w:lang w:val="en-GB" w:eastAsia="en-GB"/>
        </w:rPr>
        <w:t xml:space="preserve">robustness check of the long-run relationship among the variables. The result of FMOLS showed a positive effect of </w:t>
      </w:r>
      <w:r w:rsidR="00545CD2">
        <w:rPr>
          <w:rFonts w:ascii="Times New Roman" w:eastAsia="Times New Roman" w:hAnsi="Times New Roman" w:cs="Times New Roman"/>
          <w:sz w:val="20"/>
          <w:szCs w:val="20"/>
          <w:lang w:val="en-GB" w:eastAsia="en-GB"/>
        </w:rPr>
        <w:t xml:space="preserve">the </w:t>
      </w:r>
      <w:r w:rsidRPr="004B7B66">
        <w:rPr>
          <w:rFonts w:ascii="Times New Roman" w:eastAsia="Times New Roman" w:hAnsi="Times New Roman" w:cs="Times New Roman"/>
          <w:sz w:val="20"/>
          <w:szCs w:val="20"/>
          <w:lang w:val="en-GB" w:eastAsia="en-GB"/>
        </w:rPr>
        <w:t xml:space="preserve">central bank policy rate on </w:t>
      </w:r>
      <w:r w:rsidR="00545CD2">
        <w:rPr>
          <w:rFonts w:ascii="Times New Roman" w:eastAsia="Times New Roman" w:hAnsi="Times New Roman" w:cs="Times New Roman"/>
          <w:sz w:val="20"/>
          <w:szCs w:val="20"/>
          <w:lang w:val="en-GB" w:eastAsia="en-GB"/>
        </w:rPr>
        <w:t xml:space="preserve">the </w:t>
      </w:r>
      <w:r w:rsidRPr="004B7B66">
        <w:rPr>
          <w:rFonts w:ascii="Times New Roman" w:eastAsia="Times New Roman" w:hAnsi="Times New Roman" w:cs="Times New Roman"/>
          <w:sz w:val="20"/>
          <w:szCs w:val="20"/>
          <w:lang w:val="en-GB" w:eastAsia="en-GB"/>
        </w:rPr>
        <w:t xml:space="preserve">Rupiah volatility against </w:t>
      </w:r>
      <w:r w:rsidR="00545CD2">
        <w:rPr>
          <w:rFonts w:ascii="Times New Roman" w:eastAsia="Times New Roman" w:hAnsi="Times New Roman" w:cs="Times New Roman"/>
          <w:sz w:val="20"/>
          <w:szCs w:val="20"/>
          <w:lang w:val="en-GB" w:eastAsia="en-GB"/>
        </w:rPr>
        <w:t xml:space="preserve">the </w:t>
      </w:r>
      <w:r w:rsidRPr="004B7B66">
        <w:rPr>
          <w:rFonts w:ascii="Times New Roman" w:eastAsia="Times New Roman" w:hAnsi="Times New Roman" w:cs="Times New Roman"/>
          <w:sz w:val="20"/>
          <w:szCs w:val="20"/>
          <w:lang w:val="en-GB" w:eastAsia="en-GB"/>
        </w:rPr>
        <w:t xml:space="preserve">US Dollar, Singaporean Dollar, Australia Dollar, as well as Pound Sterling and Euro. </w:t>
      </w:r>
    </w:p>
    <w:p w14:paraId="04EFD7BC" w14:textId="77777777" w:rsidR="004B7B66" w:rsidRPr="004B7B66" w:rsidRDefault="004B7B66" w:rsidP="004B7B66">
      <w:pPr>
        <w:spacing w:after="0" w:line="240" w:lineRule="auto"/>
        <w:ind w:firstLine="360"/>
        <w:jc w:val="both"/>
        <w:rPr>
          <w:rFonts w:ascii="Times New Roman" w:hAnsi="Times New Roman" w:cs="Times New Roman"/>
          <w:sz w:val="20"/>
          <w:szCs w:val="20"/>
        </w:rPr>
      </w:pPr>
    </w:p>
    <w:p w14:paraId="429E9264" w14:textId="397CEABB" w:rsidR="001A3E56" w:rsidRDefault="001A3E56" w:rsidP="004B7B66">
      <w:pPr>
        <w:spacing w:after="0" w:line="240" w:lineRule="auto"/>
        <w:jc w:val="both"/>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0"/>
      </w:tblGrid>
      <w:tr w:rsidR="004B7B66" w14:paraId="51E7E88A" w14:textId="77777777" w:rsidTr="004B7B66">
        <w:tc>
          <w:tcPr>
            <w:tcW w:w="9912" w:type="dxa"/>
          </w:tcPr>
          <w:p w14:paraId="23625C80" w14:textId="0A97E7C2" w:rsidR="004B7B66" w:rsidRDefault="00886B47" w:rsidP="004B7B66">
            <w:pPr>
              <w:jc w:val="center"/>
            </w:pPr>
            <w:r>
              <w:rPr>
                <w:noProof/>
              </w:rPr>
              <w:object w:dxaOrig="12495" w:dyaOrig="13065" w14:anchorId="771B89E6">
                <v:shape id="_x0000_i1028" type="#_x0000_t75" alt="" style="width:489pt;height:489.75pt;mso-width-percent:0;mso-height-percent:0;mso-width-percent:0;mso-height-percent:0" o:ole="">
                  <v:imagedata r:id="rId23" o:title=""/>
                </v:shape>
                <o:OLEObject Type="Embed" ProgID="PBrush" ShapeID="_x0000_i1028" DrawAspect="Content" ObjectID="_1731741831" r:id="rId24"/>
              </w:object>
            </w:r>
          </w:p>
          <w:p w14:paraId="77FF6E3E" w14:textId="77777777" w:rsidR="004B7B66" w:rsidRPr="004B7B66" w:rsidRDefault="004B7B66" w:rsidP="004B7B66">
            <w:pPr>
              <w:jc w:val="both"/>
              <w:rPr>
                <w:rFonts w:ascii="Times New Roman" w:hAnsi="Times New Roman" w:cs="Times New Roman"/>
                <w:sz w:val="16"/>
                <w:szCs w:val="20"/>
                <w:lang w:bidi="ps-AF"/>
              </w:rPr>
            </w:pPr>
            <w:r w:rsidRPr="004B7B66">
              <w:rPr>
                <w:rFonts w:ascii="Times New Roman" w:hAnsi="Times New Roman" w:cs="Times New Roman"/>
                <w:b/>
                <w:sz w:val="16"/>
                <w:szCs w:val="20"/>
                <w:lang w:bidi="ps-AF"/>
              </w:rPr>
              <w:t>Figure 1.</w:t>
            </w:r>
            <w:r w:rsidRPr="004B7B66">
              <w:rPr>
                <w:rFonts w:ascii="Times New Roman" w:hAnsi="Times New Roman" w:cs="Times New Roman"/>
                <w:sz w:val="16"/>
                <w:szCs w:val="20"/>
                <w:lang w:bidi="ps-AF"/>
              </w:rPr>
              <w:t xml:space="preserve"> </w:t>
            </w:r>
          </w:p>
          <w:p w14:paraId="7049950C" w14:textId="1D353796" w:rsidR="004B7B66" w:rsidRDefault="004B7B66" w:rsidP="004B7B66">
            <w:pPr>
              <w:jc w:val="both"/>
              <w:rPr>
                <w:rFonts w:ascii="Times New Roman" w:hAnsi="Times New Roman" w:cs="Times New Roman"/>
                <w:sz w:val="20"/>
                <w:szCs w:val="20"/>
                <w:lang w:bidi="ps-AF"/>
              </w:rPr>
            </w:pPr>
            <w:r w:rsidRPr="004B7B66">
              <w:rPr>
                <w:rFonts w:ascii="Times New Roman" w:hAnsi="Times New Roman" w:cs="Times New Roman"/>
                <w:sz w:val="16"/>
                <w:szCs w:val="20"/>
                <w:lang w:bidi="ps-AF"/>
              </w:rPr>
              <w:t>Growth rate Indonesia rupiah against five foreign exchange rates and central bank rate.</w:t>
            </w:r>
          </w:p>
        </w:tc>
      </w:tr>
    </w:tbl>
    <w:p w14:paraId="0845DD35" w14:textId="77777777" w:rsidR="004B7B66" w:rsidRPr="004B7B66" w:rsidRDefault="004B7B66" w:rsidP="004B7B66">
      <w:pPr>
        <w:spacing w:after="0" w:line="240" w:lineRule="auto"/>
        <w:jc w:val="both"/>
        <w:rPr>
          <w:rFonts w:ascii="Times New Roman" w:hAnsi="Times New Roman" w:cs="Times New Roman"/>
          <w:sz w:val="20"/>
          <w:szCs w:val="20"/>
        </w:rPr>
      </w:pPr>
    </w:p>
    <w:p w14:paraId="2881CF2D" w14:textId="26F9BAC9" w:rsidR="000854E4" w:rsidRPr="004B7B66" w:rsidRDefault="000854E4" w:rsidP="004B7B66">
      <w:pPr>
        <w:spacing w:after="0" w:line="240" w:lineRule="auto"/>
        <w:ind w:firstLine="284"/>
        <w:jc w:val="both"/>
        <w:rPr>
          <w:rFonts w:ascii="Times New Roman" w:hAnsi="Times New Roman" w:cs="Times New Roman"/>
          <w:sz w:val="20"/>
          <w:szCs w:val="20"/>
        </w:rPr>
      </w:pPr>
      <w:r w:rsidRPr="004B7B66">
        <w:rPr>
          <w:rFonts w:ascii="Times New Roman" w:hAnsi="Times New Roman" w:cs="Times New Roman"/>
          <w:sz w:val="20"/>
          <w:szCs w:val="20"/>
        </w:rPr>
        <w:t xml:space="preserve">The remaining parts of this study are </w:t>
      </w:r>
      <w:proofErr w:type="spellStart"/>
      <w:r w:rsidRPr="004B7B66">
        <w:rPr>
          <w:rFonts w:ascii="Times New Roman" w:hAnsi="Times New Roman" w:cs="Times New Roman"/>
          <w:sz w:val="20"/>
          <w:szCs w:val="20"/>
        </w:rPr>
        <w:t>organised</w:t>
      </w:r>
      <w:proofErr w:type="spellEnd"/>
      <w:r w:rsidRPr="004B7B66">
        <w:rPr>
          <w:rFonts w:ascii="Times New Roman" w:hAnsi="Times New Roman" w:cs="Times New Roman"/>
          <w:sz w:val="20"/>
          <w:szCs w:val="20"/>
        </w:rPr>
        <w:t xml:space="preserve"> in such a way that the second section reviews related literature, </w:t>
      </w:r>
      <w:r w:rsidR="00545CD2">
        <w:rPr>
          <w:rFonts w:ascii="Times New Roman" w:hAnsi="Times New Roman" w:cs="Times New Roman"/>
          <w:sz w:val="20"/>
          <w:szCs w:val="20"/>
        </w:rPr>
        <w:t xml:space="preserve">and </w:t>
      </w:r>
      <w:r w:rsidRPr="004B7B66">
        <w:rPr>
          <w:rFonts w:ascii="Times New Roman" w:hAnsi="Times New Roman" w:cs="Times New Roman"/>
          <w:sz w:val="20"/>
          <w:szCs w:val="20"/>
        </w:rPr>
        <w:t>the third explores the data set, the construction methodology used, and the models. In addition, the fourth section presents the empirical findings, and the fifth is the concluding section.</w:t>
      </w:r>
    </w:p>
    <w:p w14:paraId="16F5C160" w14:textId="77777777" w:rsidR="000854E4" w:rsidRPr="004B7B66" w:rsidRDefault="000854E4" w:rsidP="004B7B66">
      <w:pPr>
        <w:pStyle w:val="ListParagraph"/>
        <w:spacing w:after="0" w:line="240" w:lineRule="auto"/>
        <w:ind w:left="0" w:firstLine="720"/>
        <w:jc w:val="both"/>
        <w:rPr>
          <w:rFonts w:ascii="Times New Roman" w:hAnsi="Times New Roman" w:cs="Times New Roman"/>
          <w:sz w:val="20"/>
          <w:szCs w:val="20"/>
        </w:rPr>
      </w:pPr>
    </w:p>
    <w:p w14:paraId="6D08330C" w14:textId="43E3499A" w:rsidR="000854E4" w:rsidRPr="004B7B66" w:rsidRDefault="00293371" w:rsidP="00776F87">
      <w:pPr>
        <w:pStyle w:val="005ChapterHigh"/>
      </w:pPr>
      <w:r w:rsidRPr="004B7B66">
        <w:t>2. Literature Review</w:t>
      </w:r>
    </w:p>
    <w:p w14:paraId="6E9B55E2" w14:textId="63041F5B" w:rsidR="000854E4" w:rsidRPr="004B7B66" w:rsidRDefault="000854E4" w:rsidP="004B7B66">
      <w:pPr>
        <w:kinsoku w:val="0"/>
        <w:overflowPunct w:val="0"/>
        <w:autoSpaceDE w:val="0"/>
        <w:autoSpaceDN w:val="0"/>
        <w:spacing w:after="0" w:line="240" w:lineRule="auto"/>
        <w:ind w:firstLine="284"/>
        <w:jc w:val="both"/>
        <w:rPr>
          <w:rFonts w:ascii="Times New Roman" w:hAnsi="Times New Roman" w:cs="Times New Roman"/>
          <w:sz w:val="20"/>
          <w:szCs w:val="20"/>
          <w:shd w:val="clear" w:color="auto" w:fill="FFFFFF"/>
        </w:rPr>
      </w:pPr>
      <w:r w:rsidRPr="004B7B66">
        <w:rPr>
          <w:rFonts w:ascii="Times New Roman" w:hAnsi="Times New Roman" w:cs="Times New Roman"/>
          <w:sz w:val="20"/>
          <w:szCs w:val="20"/>
          <w:shd w:val="clear" w:color="auto" w:fill="FFFFFF"/>
        </w:rPr>
        <w:t xml:space="preserve">Several studies examined the effect of different macroeconomic variables on exchange rate volatility. For example, </w:t>
      </w:r>
      <w:r w:rsidR="00E2642F" w:rsidRPr="00E2642F">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AuthorYear="1"&gt;&lt;Author&gt;Kuncoro&lt;/Author&gt;&lt;Year&gt;2020&lt;/Year&gt;&lt;RecNum&gt;24&lt;/RecNum&gt;&lt;DisplayText&gt;Kuncoro [25]&lt;/DisplayText&gt;&lt;record&gt;&lt;rec-number&gt;24&lt;/rec-number&gt;&lt;foreign-keys&gt;&lt;key app="EN" db-id="w02dva9072e097ez0eov2pwr9fvdzpzav5te"&gt;24&lt;/key&gt;&lt;/foreign-keys&gt;&lt;ref-type name="Journal Article"&gt;17&lt;/ref-type&gt;&lt;contributors&gt;&lt;authors&gt;&lt;author&gt;Kuncoro, Haryo&lt;/author&gt;&lt;/authors&gt;&lt;/contributors&gt;&lt;titles&gt;&lt;title&gt;Interest rate policy and exchange rates volatility lessons from Indonesia&lt;/title&gt;&lt;secondary-title&gt;Journal of Central Banking Theory and Practice&lt;/secondary-title&gt;&lt;/titles&gt;&lt;pages&gt;19-42&lt;/pages&gt;&lt;volume&gt;9&lt;/volume&gt;&lt;number&gt;2&lt;/number&gt;&lt;dates&gt;&lt;year&gt;2020&lt;/year&gt;&lt;/dates&gt;&lt;urls&gt;&lt;/urls&gt;&lt;electronic-resource-num&gt;https://doi.org/10.2478/jcbtp-2020-0012&lt;/electronic-resource-num&gt;&lt;/record&gt;&lt;/Cite&gt;&lt;/EndNote&gt;</w:instrText>
      </w:r>
      <w:r w:rsidR="00E2642F" w:rsidRPr="00E2642F">
        <w:rPr>
          <w:rFonts w:ascii="Times New Roman" w:hAnsi="Times New Roman" w:cs="Times New Roman"/>
          <w:color w:val="0000CC"/>
          <w:sz w:val="20"/>
          <w:szCs w:val="20"/>
          <w:shd w:val="clear" w:color="auto" w:fill="FFFFFF"/>
        </w:rPr>
        <w:fldChar w:fldCharType="separate"/>
      </w:r>
      <w:hyperlink w:anchor="_ENREF_25" w:tooltip="Kuncoro, 2020 #24" w:history="1">
        <w:r w:rsidR="00AF2A4C">
          <w:rPr>
            <w:rFonts w:ascii="Times New Roman" w:hAnsi="Times New Roman" w:cs="Times New Roman"/>
            <w:noProof/>
            <w:color w:val="0000CC"/>
            <w:sz w:val="20"/>
            <w:szCs w:val="20"/>
            <w:shd w:val="clear" w:color="auto" w:fill="FFFFFF"/>
          </w:rPr>
          <w:t>Kuncoro [25</w:t>
        </w:r>
      </w:hyperlink>
      <w:r w:rsidR="00E2642F">
        <w:rPr>
          <w:rFonts w:ascii="Times New Roman" w:hAnsi="Times New Roman" w:cs="Times New Roman"/>
          <w:noProof/>
          <w:color w:val="0000CC"/>
          <w:sz w:val="20"/>
          <w:szCs w:val="20"/>
          <w:shd w:val="clear" w:color="auto" w:fill="FFFFFF"/>
        </w:rPr>
        <w:t>]</w:t>
      </w:r>
      <w:r w:rsidR="00E2642F" w:rsidRPr="00E2642F">
        <w:rPr>
          <w:rFonts w:ascii="Times New Roman" w:hAnsi="Times New Roman" w:cs="Times New Roman"/>
          <w:color w:val="0000CC"/>
          <w:sz w:val="20"/>
          <w:szCs w:val="20"/>
          <w:shd w:val="clear" w:color="auto" w:fill="FFFFFF"/>
        </w:rPr>
        <w:fldChar w:fldCharType="end"/>
      </w:r>
      <w:r w:rsidRPr="004B7B66">
        <w:rPr>
          <w:rFonts w:ascii="Times New Roman" w:hAnsi="Times New Roman" w:cs="Times New Roman"/>
          <w:sz w:val="20"/>
          <w:szCs w:val="20"/>
          <w:shd w:val="clear" w:color="auto" w:fill="FFFFFF"/>
        </w:rPr>
        <w:t xml:space="preserve"> studied the influence of applying </w:t>
      </w:r>
      <w:r w:rsidR="00545CD2">
        <w:rPr>
          <w:rFonts w:ascii="Times New Roman" w:hAnsi="Times New Roman" w:cs="Times New Roman"/>
          <w:sz w:val="20"/>
          <w:szCs w:val="20"/>
          <w:shd w:val="clear" w:color="auto" w:fill="FFFFFF"/>
        </w:rPr>
        <w:t xml:space="preserve">an </w:t>
      </w:r>
      <w:r w:rsidRPr="004B7B66">
        <w:rPr>
          <w:rFonts w:ascii="Times New Roman" w:hAnsi="Times New Roman" w:cs="Times New Roman"/>
          <w:sz w:val="20"/>
          <w:szCs w:val="20"/>
          <w:shd w:val="clear" w:color="auto" w:fill="FFFFFF"/>
        </w:rPr>
        <w:t>inflation</w:t>
      </w:r>
      <w:r w:rsidR="00887493">
        <w:rPr>
          <w:rFonts w:ascii="Times New Roman" w:hAnsi="Times New Roman" w:cs="Times New Roman"/>
          <w:sz w:val="20"/>
          <w:szCs w:val="20"/>
          <w:shd w:val="clear" w:color="auto" w:fill="FFFFFF"/>
        </w:rPr>
        <w:t>-</w:t>
      </w:r>
      <w:r w:rsidRPr="004B7B66">
        <w:rPr>
          <w:rFonts w:ascii="Times New Roman" w:hAnsi="Times New Roman" w:cs="Times New Roman"/>
          <w:sz w:val="20"/>
          <w:szCs w:val="20"/>
          <w:shd w:val="clear" w:color="auto" w:fill="FFFFFF"/>
        </w:rPr>
        <w:t xml:space="preserve">targeting framework on the volatility of the exchange rate in Indonesia using monthly data from July 2005 to July 2016. The result found the target inflation set by the monetary authority to </w:t>
      </w:r>
      <w:r w:rsidRPr="004B7B66">
        <w:rPr>
          <w:rFonts w:ascii="Times New Roman" w:hAnsi="Times New Roman" w:cs="Times New Roman"/>
          <w:sz w:val="20"/>
          <w:szCs w:val="20"/>
        </w:rPr>
        <w:t xml:space="preserve">only succeed in </w:t>
      </w:r>
      <w:proofErr w:type="spellStart"/>
      <w:r w:rsidRPr="004B7B66">
        <w:rPr>
          <w:rFonts w:ascii="Times New Roman" w:hAnsi="Times New Roman" w:cs="Times New Roman"/>
          <w:sz w:val="20"/>
          <w:szCs w:val="20"/>
        </w:rPr>
        <w:t>stabilising</w:t>
      </w:r>
      <w:proofErr w:type="spellEnd"/>
      <w:r w:rsidRPr="004B7B66">
        <w:rPr>
          <w:rFonts w:ascii="Times New Roman" w:hAnsi="Times New Roman" w:cs="Times New Roman"/>
          <w:sz w:val="20"/>
          <w:szCs w:val="20"/>
        </w:rPr>
        <w:t xml:space="preserve"> inflation but unsuccessful in reducing exchange rate volatility. Also</w:t>
      </w:r>
      <w:r w:rsidR="00545CD2">
        <w:rPr>
          <w:rFonts w:ascii="Times New Roman" w:hAnsi="Times New Roman" w:cs="Times New Roman"/>
          <w:sz w:val="20"/>
          <w:szCs w:val="20"/>
        </w:rPr>
        <w:t>,</w:t>
      </w:r>
      <w:r w:rsidRPr="004B7B66">
        <w:rPr>
          <w:rFonts w:ascii="Times New Roman" w:hAnsi="Times New Roman" w:cs="Times New Roman"/>
          <w:sz w:val="20"/>
          <w:szCs w:val="20"/>
        </w:rPr>
        <w:t xml:space="preserve"> a change in foreign exchange intervention and the interest rate was shown not to </w:t>
      </w:r>
      <w:r w:rsidR="00545CD2" w:rsidRPr="004B7B66">
        <w:rPr>
          <w:rFonts w:ascii="Times New Roman" w:hAnsi="Times New Roman" w:cs="Times New Roman"/>
          <w:sz w:val="20"/>
          <w:szCs w:val="20"/>
        </w:rPr>
        <w:t>guarant</w:t>
      </w:r>
      <w:r w:rsidR="00545CD2">
        <w:rPr>
          <w:rFonts w:ascii="Times New Roman" w:hAnsi="Times New Roman" w:cs="Times New Roman"/>
          <w:sz w:val="20"/>
          <w:szCs w:val="20"/>
        </w:rPr>
        <w:t>ee</w:t>
      </w:r>
      <w:r w:rsidR="00545CD2" w:rsidRPr="004B7B66">
        <w:rPr>
          <w:rFonts w:ascii="Times New Roman" w:hAnsi="Times New Roman" w:cs="Times New Roman"/>
          <w:sz w:val="20"/>
          <w:szCs w:val="20"/>
        </w:rPr>
        <w:t xml:space="preserve"> </w:t>
      </w:r>
      <w:r w:rsidRPr="004B7B66">
        <w:rPr>
          <w:rFonts w:ascii="Times New Roman" w:hAnsi="Times New Roman" w:cs="Times New Roman"/>
          <w:sz w:val="20"/>
          <w:szCs w:val="20"/>
        </w:rPr>
        <w:t xml:space="preserve">exchange rate stability. Moreover, </w:t>
      </w:r>
      <w:r w:rsidR="00E2642F" w:rsidRPr="00E2642F">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AuthorYear="1"&gt;&lt;Author&gt;Kilicarslan&lt;/Author&gt;&lt;Year&gt;2018&lt;/Year&gt;&lt;RecNum&gt;23&lt;/RecNum&gt;&lt;DisplayText&gt;Kilicarslan [12]&lt;/DisplayText&gt;&lt;record&gt;&lt;rec-number&gt;23&lt;/rec-number&gt;&lt;foreign-keys&gt;&lt;key app="EN" db-id="w02dva9072e097ez0eov2pwr9fvdzpzav5te"&gt;23&lt;/key&gt;&lt;/foreign-keys&gt;&lt;ref-type name="Journal Article"&gt;17&lt;/ref-type&gt;&lt;contributors&gt;&lt;authors&gt;&lt;author&gt;Kilicarslan, Zerrin&lt;/author&gt;&lt;/authors&gt;&lt;/contributors&gt;&lt;titles&gt;&lt;title&gt;Determinants of exchange rate volatility: Empirical evidence for Turkey&lt;/title&gt;&lt;secondary-title&gt;Journal of Economics Finance and Accounting&lt;/secondary-title&gt;&lt;/titles&gt;&lt;pages&gt;204-213&lt;/pages&gt;&lt;volume&gt;5&lt;/volume&gt;&lt;number&gt;2&lt;/number&gt;&lt;dates&gt;&lt;year&gt;2018&lt;/year&gt;&lt;/dates&gt;&lt;urls&gt;&lt;/urls&gt;&lt;electronic-resource-num&gt;https://doi.org/10.17261/pressacademia.2018.825&lt;/electronic-resource-num&gt;&lt;/record&gt;&lt;/Cite&gt;&lt;/EndNote&gt;</w:instrText>
      </w:r>
      <w:r w:rsidR="00E2642F" w:rsidRPr="00E2642F">
        <w:rPr>
          <w:rFonts w:ascii="Times New Roman" w:hAnsi="Times New Roman" w:cs="Times New Roman"/>
          <w:color w:val="0000CC"/>
          <w:sz w:val="20"/>
          <w:szCs w:val="20"/>
          <w:shd w:val="clear" w:color="auto" w:fill="FFFFFF"/>
        </w:rPr>
        <w:fldChar w:fldCharType="separate"/>
      </w:r>
      <w:hyperlink w:anchor="_ENREF_12" w:tooltip="Kilicarslan, 2018 #23" w:history="1">
        <w:r w:rsidR="00AF2A4C">
          <w:rPr>
            <w:rFonts w:ascii="Times New Roman" w:hAnsi="Times New Roman" w:cs="Times New Roman"/>
            <w:noProof/>
            <w:color w:val="0000CC"/>
            <w:sz w:val="20"/>
            <w:szCs w:val="20"/>
            <w:shd w:val="clear" w:color="auto" w:fill="FFFFFF"/>
          </w:rPr>
          <w:t>Kilicarslan [12</w:t>
        </w:r>
      </w:hyperlink>
      <w:r w:rsidR="00E2642F">
        <w:rPr>
          <w:rFonts w:ascii="Times New Roman" w:hAnsi="Times New Roman" w:cs="Times New Roman"/>
          <w:noProof/>
          <w:color w:val="0000CC"/>
          <w:sz w:val="20"/>
          <w:szCs w:val="20"/>
          <w:shd w:val="clear" w:color="auto" w:fill="FFFFFF"/>
        </w:rPr>
        <w:t>]</w:t>
      </w:r>
      <w:r w:rsidR="00E2642F" w:rsidRPr="00E2642F">
        <w:rPr>
          <w:rFonts w:ascii="Times New Roman" w:hAnsi="Times New Roman" w:cs="Times New Roman"/>
          <w:color w:val="0000CC"/>
          <w:sz w:val="20"/>
          <w:szCs w:val="20"/>
          <w:shd w:val="clear" w:color="auto" w:fill="FFFFFF"/>
        </w:rPr>
        <w:fldChar w:fldCharType="end"/>
      </w:r>
      <w:r w:rsidRPr="004B7B66">
        <w:rPr>
          <w:rFonts w:ascii="Times New Roman" w:hAnsi="Times New Roman" w:cs="Times New Roman"/>
          <w:sz w:val="20"/>
          <w:szCs w:val="20"/>
          <w:shd w:val="clear" w:color="auto" w:fill="FFFFFF"/>
        </w:rPr>
        <w:t xml:space="preserve"> investigated the determinants of </w:t>
      </w:r>
      <w:r w:rsidR="00545CD2">
        <w:rPr>
          <w:rFonts w:ascii="Times New Roman" w:hAnsi="Times New Roman" w:cs="Times New Roman"/>
          <w:sz w:val="20"/>
          <w:szCs w:val="20"/>
          <w:shd w:val="clear" w:color="auto" w:fill="FFFFFF"/>
        </w:rPr>
        <w:t xml:space="preserve">the </w:t>
      </w:r>
      <w:r w:rsidRPr="004B7B66">
        <w:rPr>
          <w:rFonts w:ascii="Times New Roman" w:hAnsi="Times New Roman" w:cs="Times New Roman"/>
          <w:sz w:val="20"/>
          <w:szCs w:val="20"/>
          <w:shd w:val="clear" w:color="auto" w:fill="FFFFFF"/>
        </w:rPr>
        <w:t xml:space="preserve">Turkish Lira against US dollar Volatility </w:t>
      </w:r>
      <w:r w:rsidR="00545CD2" w:rsidRPr="004B7B66">
        <w:rPr>
          <w:rFonts w:ascii="Times New Roman" w:hAnsi="Times New Roman" w:cs="Times New Roman"/>
          <w:sz w:val="20"/>
          <w:szCs w:val="20"/>
          <w:shd w:val="clear" w:color="auto" w:fill="FFFFFF"/>
        </w:rPr>
        <w:t>f</w:t>
      </w:r>
      <w:r w:rsidR="00545CD2">
        <w:rPr>
          <w:rFonts w:ascii="Times New Roman" w:hAnsi="Times New Roman" w:cs="Times New Roman"/>
          <w:sz w:val="20"/>
          <w:szCs w:val="20"/>
          <w:shd w:val="clear" w:color="auto" w:fill="FFFFFF"/>
        </w:rPr>
        <w:t>rom</w:t>
      </w:r>
      <w:r w:rsidR="00545CD2" w:rsidRPr="004B7B66">
        <w:rPr>
          <w:rFonts w:ascii="Times New Roman" w:hAnsi="Times New Roman" w:cs="Times New Roman"/>
          <w:sz w:val="20"/>
          <w:szCs w:val="20"/>
          <w:shd w:val="clear" w:color="auto" w:fill="FFFFFF"/>
        </w:rPr>
        <w:t xml:space="preserve"> </w:t>
      </w:r>
      <w:r w:rsidRPr="004B7B66">
        <w:rPr>
          <w:rFonts w:ascii="Times New Roman" w:hAnsi="Times New Roman" w:cs="Times New Roman"/>
          <w:sz w:val="20"/>
          <w:szCs w:val="20"/>
          <w:shd w:val="clear" w:color="auto" w:fill="FFFFFF"/>
        </w:rPr>
        <w:t xml:space="preserve">1974 to 2016  and used the Johansen cointegration test to prove the long-run relationship between money supply, domestic investment, trade openness, output, foreign direct investment, and government expenditure as explanatory variables with exchange rate volatility.  Full modified ordinary least square estimation was also used to determine the effect of the explanatory variables on exchange rate volatility. The results showed money supply, domestic investment, and trade openness increased the volatility of the exchange rate while foreign direct investment, government expenditure, and output </w:t>
      </w:r>
      <w:proofErr w:type="spellStart"/>
      <w:r w:rsidRPr="004B7B66">
        <w:rPr>
          <w:rFonts w:ascii="Times New Roman" w:hAnsi="Times New Roman" w:cs="Times New Roman"/>
          <w:sz w:val="20"/>
          <w:szCs w:val="20"/>
          <w:shd w:val="clear" w:color="auto" w:fill="FFFFFF"/>
        </w:rPr>
        <w:t>stabilised</w:t>
      </w:r>
      <w:proofErr w:type="spellEnd"/>
      <w:r w:rsidRPr="004B7B66">
        <w:rPr>
          <w:rFonts w:ascii="Times New Roman" w:hAnsi="Times New Roman" w:cs="Times New Roman"/>
          <w:sz w:val="20"/>
          <w:szCs w:val="20"/>
          <w:shd w:val="clear" w:color="auto" w:fill="FFFFFF"/>
        </w:rPr>
        <w:t xml:space="preserve"> the Lira - US dollar volatility.</w:t>
      </w:r>
    </w:p>
    <w:p w14:paraId="583AA920" w14:textId="1AAC1965" w:rsidR="000854E4" w:rsidRPr="004B7B66" w:rsidRDefault="003F1DAA" w:rsidP="004B7B66">
      <w:pPr>
        <w:kinsoku w:val="0"/>
        <w:overflowPunct w:val="0"/>
        <w:autoSpaceDE w:val="0"/>
        <w:autoSpaceDN w:val="0"/>
        <w:spacing w:after="0" w:line="240" w:lineRule="auto"/>
        <w:ind w:firstLine="284"/>
        <w:jc w:val="both"/>
        <w:rPr>
          <w:rFonts w:ascii="Times New Roman" w:hAnsi="Times New Roman" w:cs="Times New Roman"/>
          <w:sz w:val="20"/>
          <w:szCs w:val="20"/>
          <w:shd w:val="clear" w:color="auto" w:fill="FFFFFF"/>
        </w:rPr>
      </w:pPr>
      <w:r w:rsidRPr="003F1DAA">
        <w:rPr>
          <w:rFonts w:ascii="Times New Roman" w:hAnsi="Times New Roman" w:cs="Times New Roman"/>
          <w:color w:val="0000CC"/>
          <w:sz w:val="20"/>
          <w:szCs w:val="20"/>
          <w:shd w:val="clear" w:color="auto" w:fill="FFFFFF"/>
        </w:rPr>
        <w:lastRenderedPageBreak/>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AuthorYear="1"&gt;&lt;Author&gt;Khin&lt;/Author&gt;&lt;Year&gt;2017&lt;/Year&gt;&lt;RecNum&gt;22&lt;/RecNum&gt;&lt;DisplayText&gt;Khin, et al. [26]&lt;/DisplayText&gt;&lt;record&gt;&lt;rec-number&gt;22&lt;/rec-number&gt;&lt;foreign-keys&gt;&lt;key app="EN" db-id="w02dva9072e097ez0eov2pwr9fvdzpzav5te"&gt;22&lt;/key&gt;&lt;/foreign-keys&gt;&lt;ref-type name="Journal Article"&gt;17&lt;/ref-type&gt;&lt;contributors&gt;&lt;authors&gt;&lt;author&gt;Khin, Aye Aye&lt;/author&gt;&lt;author&gt;Yee, Chiow Yet&lt;/author&gt;&lt;author&gt;Seng, Ler Su&lt;/author&gt;&lt;author&gt;Wan, Chan Mei&lt;/author&gt;&lt;author&gt;Xian, Goh Qi&lt;/author&gt;&lt;/authors&gt;&lt;/contributors&gt;&lt;titles&gt;&lt;title&gt;Exchange rate volatility on macroeconomıc determinants in Malaysia: Vector error correction method (VECM) model&lt;/title&gt;&lt;secondary-title&gt;Journal of Global Business and Social Entrepreneurship&lt;/secondary-title&gt;&lt;/titles&gt;&lt;pages&gt;36-45&lt;/pages&gt;&lt;volume&gt;3&lt;/volume&gt;&lt;number&gt;5&lt;/number&gt;&lt;dates&gt;&lt;year&gt;2017&lt;/year&gt;&lt;/dates&gt;&lt;urls&gt;&lt;/urls&gt;&lt;/record&gt;&lt;/Cite&gt;&lt;/EndNote&gt;</w:instrText>
      </w:r>
      <w:r w:rsidRPr="003F1DAA">
        <w:rPr>
          <w:rFonts w:ascii="Times New Roman" w:hAnsi="Times New Roman" w:cs="Times New Roman"/>
          <w:color w:val="0000CC"/>
          <w:sz w:val="20"/>
          <w:szCs w:val="20"/>
          <w:shd w:val="clear" w:color="auto" w:fill="FFFFFF"/>
        </w:rPr>
        <w:fldChar w:fldCharType="separate"/>
      </w:r>
      <w:hyperlink w:anchor="_ENREF_26" w:tooltip="Khin, 2017 #22" w:history="1">
        <w:r w:rsidR="00AF2A4C">
          <w:rPr>
            <w:rFonts w:ascii="Times New Roman" w:hAnsi="Times New Roman" w:cs="Times New Roman"/>
            <w:noProof/>
            <w:color w:val="0000CC"/>
            <w:sz w:val="20"/>
            <w:szCs w:val="20"/>
            <w:shd w:val="clear" w:color="auto" w:fill="FFFFFF"/>
          </w:rPr>
          <w:t>Khin et al. [26</w:t>
        </w:r>
      </w:hyperlink>
      <w:r>
        <w:rPr>
          <w:rFonts w:ascii="Times New Roman" w:hAnsi="Times New Roman" w:cs="Times New Roman"/>
          <w:noProof/>
          <w:color w:val="0000CC"/>
          <w:sz w:val="20"/>
          <w:szCs w:val="20"/>
          <w:shd w:val="clear" w:color="auto" w:fill="FFFFFF"/>
        </w:rPr>
        <w:t>]</w:t>
      </w:r>
      <w:r w:rsidRPr="003F1DAA">
        <w:rPr>
          <w:rFonts w:ascii="Times New Roman" w:hAnsi="Times New Roman" w:cs="Times New Roman"/>
          <w:color w:val="0000CC"/>
          <w:sz w:val="20"/>
          <w:szCs w:val="20"/>
          <w:shd w:val="clear" w:color="auto" w:fill="FFFFFF"/>
        </w:rPr>
        <w:fldChar w:fldCharType="end"/>
      </w:r>
      <w:r w:rsidR="000854E4" w:rsidRPr="004B7B66">
        <w:rPr>
          <w:rFonts w:ascii="Times New Roman" w:hAnsi="Times New Roman" w:cs="Times New Roman"/>
          <w:sz w:val="20"/>
          <w:szCs w:val="20"/>
          <w:shd w:val="clear" w:color="auto" w:fill="FFFFFF"/>
        </w:rPr>
        <w:t xml:space="preserve"> investigated the relationship between domestic currency volatility, money supply, consumer price index, and interest rate in Malaysia between January 2010 and August 2016 using the vector error correction model. The results showed the existence of a positive relationship between domestic currency volatility, consumer price index, and money supply, while interest rate and domestic currency volatility have a negative relationship.</w:t>
      </w:r>
      <w:r w:rsidR="0071789C">
        <w:rPr>
          <w:rFonts w:ascii="Times New Roman" w:hAnsi="Times New Roman" w:cs="Times New Roman"/>
          <w:sz w:val="20"/>
          <w:szCs w:val="20"/>
          <w:shd w:val="clear" w:color="auto" w:fill="FFFFFF"/>
        </w:rPr>
        <w:t xml:space="preserve"> </w:t>
      </w:r>
      <w:r w:rsidR="000854E4" w:rsidRPr="004B7B66">
        <w:rPr>
          <w:rFonts w:ascii="Times New Roman" w:hAnsi="Times New Roman" w:cs="Times New Roman"/>
          <w:sz w:val="20"/>
          <w:szCs w:val="20"/>
          <w:shd w:val="clear" w:color="auto" w:fill="FFFFFF"/>
        </w:rPr>
        <w:t xml:space="preserve">Furthermore, </w:t>
      </w:r>
      <w:r w:rsidRPr="003F1DAA">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AuthorYear="1"&gt;&lt;Author&gt;Adeoye&lt;/Author&gt;&lt;Year&gt;2014&lt;/Year&gt;&lt;RecNum&gt;2&lt;/RecNum&gt;&lt;DisplayText&gt;Adeoye and Saibu [5]&lt;/DisplayText&gt;&lt;record&gt;&lt;rec-number&gt;2&lt;/rec-number&gt;&lt;foreign-keys&gt;&lt;key app="EN" db-id="w02dva9072e097ez0eov2pwr9fvdzpzav5te"&gt;2&lt;/key&gt;&lt;/foreign-keys&gt;&lt;ref-type name="Journal Article"&gt;17&lt;/ref-type&gt;&lt;contributors&gt;&lt;authors&gt;&lt;author&gt;Adeoye, B. W.&lt;/author&gt;&lt;author&gt;Saibu, O. M.&lt;/author&gt;&lt;/authors&gt;&lt;/contributors&gt;&lt;titles&gt;&lt;title&gt;Monetary policy shocks and exchange rate volatility in Nigeria&lt;/title&gt;&lt;secondary-title&gt;Asian Economic and Financial Review&lt;/secondary-title&gt;&lt;/titles&gt;&lt;pages&gt;544-562&lt;/pages&gt;&lt;volume&gt;4&lt;/volume&gt;&lt;number&gt;4&lt;/number&gt;&lt;dates&gt;&lt;year&gt;2014&lt;/year&gt;&lt;/dates&gt;&lt;urls&gt;&lt;/urls&gt;&lt;/record&gt;&lt;/Cite&gt;&lt;/EndNote&gt;</w:instrText>
      </w:r>
      <w:r w:rsidRPr="003F1DAA">
        <w:rPr>
          <w:rFonts w:ascii="Times New Roman" w:hAnsi="Times New Roman" w:cs="Times New Roman"/>
          <w:color w:val="0000CC"/>
          <w:sz w:val="20"/>
          <w:szCs w:val="20"/>
          <w:shd w:val="clear" w:color="auto" w:fill="FFFFFF"/>
        </w:rPr>
        <w:fldChar w:fldCharType="separate"/>
      </w:r>
      <w:hyperlink w:anchor="_ENREF_5" w:tooltip="Adeoye, 2014 #2" w:history="1">
        <w:r w:rsidR="00AF2A4C">
          <w:rPr>
            <w:rFonts w:ascii="Times New Roman" w:hAnsi="Times New Roman" w:cs="Times New Roman"/>
            <w:noProof/>
            <w:color w:val="0000CC"/>
            <w:sz w:val="20"/>
            <w:szCs w:val="20"/>
            <w:shd w:val="clear" w:color="auto" w:fill="FFFFFF"/>
          </w:rPr>
          <w:t>Adeoye and Saibu [5</w:t>
        </w:r>
      </w:hyperlink>
      <w:r>
        <w:rPr>
          <w:rFonts w:ascii="Times New Roman" w:hAnsi="Times New Roman" w:cs="Times New Roman"/>
          <w:noProof/>
          <w:color w:val="0000CC"/>
          <w:sz w:val="20"/>
          <w:szCs w:val="20"/>
          <w:shd w:val="clear" w:color="auto" w:fill="FFFFFF"/>
        </w:rPr>
        <w:t>]</w:t>
      </w:r>
      <w:r w:rsidRPr="003F1DAA">
        <w:rPr>
          <w:rFonts w:ascii="Times New Roman" w:hAnsi="Times New Roman" w:cs="Times New Roman"/>
          <w:color w:val="0000CC"/>
          <w:sz w:val="20"/>
          <w:szCs w:val="20"/>
          <w:shd w:val="clear" w:color="auto" w:fill="FFFFFF"/>
        </w:rPr>
        <w:fldChar w:fldCharType="end"/>
      </w:r>
      <w:r w:rsidR="000854E4" w:rsidRPr="004B7B66">
        <w:rPr>
          <w:rFonts w:ascii="Times New Roman" w:hAnsi="Times New Roman" w:cs="Times New Roman"/>
          <w:sz w:val="20"/>
          <w:szCs w:val="20"/>
          <w:shd w:val="clear" w:color="auto" w:fill="FFFFFF"/>
        </w:rPr>
        <w:t xml:space="preserve"> examined the influence of a change in the monetary instrument on domestic currency volatility in Nigeria from 1980 to 2009 with the application of some monetary policy instruments such as money supply, interest rate, foreign reserve, economic growth, and inflation to determine the exchange rate volatility. The results showed that money supply, inflation, and interest rate have a positive and significant influence on exchange rate volatility, while foreign reserve has a negative impact.</w:t>
      </w:r>
    </w:p>
    <w:p w14:paraId="5D770B5D" w14:textId="5756FAE7" w:rsidR="000854E4" w:rsidRPr="004B7B66" w:rsidRDefault="003F1DAA" w:rsidP="004B7B66">
      <w:pPr>
        <w:kinsoku w:val="0"/>
        <w:overflowPunct w:val="0"/>
        <w:autoSpaceDE w:val="0"/>
        <w:autoSpaceDN w:val="0"/>
        <w:spacing w:after="0" w:line="240" w:lineRule="auto"/>
        <w:ind w:firstLine="284"/>
        <w:jc w:val="both"/>
        <w:rPr>
          <w:rFonts w:ascii="Times New Roman" w:hAnsi="Times New Roman" w:cs="Times New Roman"/>
          <w:sz w:val="20"/>
          <w:szCs w:val="20"/>
          <w:shd w:val="clear" w:color="auto" w:fill="FFFFFF"/>
        </w:rPr>
      </w:pPr>
      <w:r w:rsidRPr="003F1DAA">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AuthorYear="1"&gt;&lt;Author&gt;Jabeen&lt;/Author&gt;&lt;Year&gt;2014&lt;/Year&gt;&lt;RecNum&gt;21&lt;/RecNum&gt;&lt;DisplayText&gt;Jabeen and Khan [31]&lt;/DisplayText&gt;&lt;record&gt;&lt;rec-number&gt;21&lt;/rec-number&gt;&lt;foreign-keys&gt;&lt;key app="EN" db-id="w02dva9072e097ez0eov2pwr9fvdzpzav5te"&gt;21&lt;/key&gt;&lt;/foreign-keys&gt;&lt;ref-type name="Journal Article"&gt;17&lt;/ref-type&gt;&lt;contributors&gt;&lt;authors&gt;&lt;author&gt;Jabeen, Munazza&lt;/author&gt;&lt;author&gt;Khan, Saud Ahmad&lt;/author&gt;&lt;/authors&gt;&lt;/contributors&gt;&lt;titles&gt;&lt;title&gt;Modelling exchange rate volatility by macroeconomic fundamentals in Pakistan&lt;/title&gt;&lt;secondary-title&gt;International Econometric Review&lt;/secondary-title&gt;&lt;/titles&gt;&lt;pages&gt;58-76&lt;/pages&gt;&lt;volume&gt;6&lt;/volume&gt;&lt;number&gt;2&lt;/number&gt;&lt;dates&gt;&lt;year&gt;2014&lt;/year&gt;&lt;/dates&gt;&lt;isbn&gt;1308-8793&lt;/isbn&gt;&lt;urls&gt;&lt;/urls&gt;&lt;electronic-resource-num&gt;https://doi.org/10.33818/ier.278035&lt;/electronic-resource-num&gt;&lt;/record&gt;&lt;/Cite&gt;&lt;/EndNote&gt;</w:instrText>
      </w:r>
      <w:r w:rsidRPr="003F1DAA">
        <w:rPr>
          <w:rFonts w:ascii="Times New Roman" w:hAnsi="Times New Roman" w:cs="Times New Roman"/>
          <w:color w:val="0000CC"/>
          <w:sz w:val="20"/>
          <w:szCs w:val="20"/>
          <w:shd w:val="clear" w:color="auto" w:fill="FFFFFF"/>
        </w:rPr>
        <w:fldChar w:fldCharType="separate"/>
      </w:r>
      <w:hyperlink w:anchor="_ENREF_31" w:tooltip="Jabeen, 2014 #21" w:history="1">
        <w:r w:rsidR="00AF2A4C">
          <w:rPr>
            <w:rFonts w:ascii="Times New Roman" w:hAnsi="Times New Roman" w:cs="Times New Roman"/>
            <w:noProof/>
            <w:color w:val="0000CC"/>
            <w:sz w:val="20"/>
            <w:szCs w:val="20"/>
            <w:shd w:val="clear" w:color="auto" w:fill="FFFFFF"/>
          </w:rPr>
          <w:t>Jabeen and Khan [31</w:t>
        </w:r>
      </w:hyperlink>
      <w:r>
        <w:rPr>
          <w:rFonts w:ascii="Times New Roman" w:hAnsi="Times New Roman" w:cs="Times New Roman"/>
          <w:noProof/>
          <w:color w:val="0000CC"/>
          <w:sz w:val="20"/>
          <w:szCs w:val="20"/>
          <w:shd w:val="clear" w:color="auto" w:fill="FFFFFF"/>
        </w:rPr>
        <w:t>]</w:t>
      </w:r>
      <w:r w:rsidRPr="003F1DAA">
        <w:rPr>
          <w:rFonts w:ascii="Times New Roman" w:hAnsi="Times New Roman" w:cs="Times New Roman"/>
          <w:color w:val="0000CC"/>
          <w:sz w:val="20"/>
          <w:szCs w:val="20"/>
          <w:shd w:val="clear" w:color="auto" w:fill="FFFFFF"/>
        </w:rPr>
        <w:fldChar w:fldCharType="end"/>
      </w:r>
      <w:r w:rsidR="000854E4" w:rsidRPr="004B7B66">
        <w:rPr>
          <w:rFonts w:ascii="Times New Roman" w:hAnsi="Times New Roman" w:cs="Times New Roman"/>
          <w:sz w:val="20"/>
          <w:szCs w:val="20"/>
          <w:shd w:val="clear" w:color="auto" w:fill="FFFFFF"/>
        </w:rPr>
        <w:t xml:space="preserve"> investigated the main factors influencing </w:t>
      </w:r>
      <w:r w:rsidR="00545CD2">
        <w:rPr>
          <w:rFonts w:ascii="Times New Roman" w:hAnsi="Times New Roman" w:cs="Times New Roman"/>
          <w:sz w:val="20"/>
          <w:szCs w:val="20"/>
          <w:shd w:val="clear" w:color="auto" w:fill="FFFFFF"/>
        </w:rPr>
        <w:t xml:space="preserve">the </w:t>
      </w:r>
      <w:r w:rsidR="000854E4" w:rsidRPr="004B7B66">
        <w:rPr>
          <w:rFonts w:ascii="Times New Roman" w:hAnsi="Times New Roman" w:cs="Times New Roman"/>
          <w:sz w:val="20"/>
          <w:szCs w:val="20"/>
          <w:shd w:val="clear" w:color="auto" w:fill="FFFFFF"/>
        </w:rPr>
        <w:t xml:space="preserve">Pakistan Rupee exchange rate volatility using the monthly data from April 1982 to November 2011. The process involved the application of </w:t>
      </w:r>
      <w:r w:rsidR="00CA4577">
        <w:rPr>
          <w:rFonts w:ascii="Times New Roman" w:hAnsi="Times New Roman" w:cs="Times New Roman"/>
          <w:sz w:val="20"/>
          <w:szCs w:val="20"/>
          <w:shd w:val="clear" w:color="auto" w:fill="FFFFFF"/>
        </w:rPr>
        <w:t xml:space="preserve">autoregressive conditional </w:t>
      </w:r>
      <w:r w:rsidR="00CA4577" w:rsidRPr="00B90F30">
        <w:rPr>
          <w:rFonts w:ascii="Times New Roman" w:hAnsi="Times New Roman" w:cs="Times New Roman"/>
          <w:sz w:val="20"/>
          <w:szCs w:val="20"/>
          <w:shd w:val="clear" w:color="auto" w:fill="FFFFFF"/>
        </w:rPr>
        <w:t>heteroskedasticity (</w:t>
      </w:r>
      <w:r w:rsidR="000854E4" w:rsidRPr="00B90F30">
        <w:rPr>
          <w:rFonts w:ascii="Times New Roman" w:hAnsi="Times New Roman" w:cs="Times New Roman"/>
          <w:sz w:val="20"/>
          <w:szCs w:val="20"/>
          <w:shd w:val="clear" w:color="auto" w:fill="FFFFFF"/>
        </w:rPr>
        <w:t>ARCH</w:t>
      </w:r>
      <w:r w:rsidR="00CA4577" w:rsidRPr="00B90F30">
        <w:rPr>
          <w:rFonts w:ascii="Times New Roman" w:hAnsi="Times New Roman" w:cs="Times New Roman"/>
          <w:sz w:val="20"/>
          <w:szCs w:val="20"/>
          <w:shd w:val="clear" w:color="auto" w:fill="FFFFFF"/>
        </w:rPr>
        <w:t>)</w:t>
      </w:r>
      <w:r w:rsidR="000854E4" w:rsidRPr="00B90F30">
        <w:rPr>
          <w:rFonts w:ascii="Times New Roman" w:hAnsi="Times New Roman" w:cs="Times New Roman"/>
          <w:sz w:val="20"/>
          <w:szCs w:val="20"/>
          <w:shd w:val="clear" w:color="auto" w:fill="FFFFFF"/>
        </w:rPr>
        <w:t xml:space="preserve"> estimation </w:t>
      </w:r>
      <w:r w:rsidR="000854E4" w:rsidRPr="004B7B66">
        <w:rPr>
          <w:rFonts w:ascii="Times New Roman" w:hAnsi="Times New Roman" w:cs="Times New Roman"/>
          <w:sz w:val="20"/>
          <w:szCs w:val="20"/>
          <w:shd w:val="clear" w:color="auto" w:fill="FFFFFF"/>
        </w:rPr>
        <w:t xml:space="preserve">to </w:t>
      </w:r>
      <w:proofErr w:type="spellStart"/>
      <w:r w:rsidR="000854E4" w:rsidRPr="004B7B66">
        <w:rPr>
          <w:rFonts w:ascii="Times New Roman" w:hAnsi="Times New Roman" w:cs="Times New Roman"/>
          <w:sz w:val="20"/>
          <w:szCs w:val="20"/>
          <w:shd w:val="clear" w:color="auto" w:fill="FFFFFF"/>
        </w:rPr>
        <w:t>analyse</w:t>
      </w:r>
      <w:proofErr w:type="spellEnd"/>
      <w:r w:rsidR="000854E4" w:rsidRPr="004B7B66">
        <w:rPr>
          <w:rFonts w:ascii="Times New Roman" w:hAnsi="Times New Roman" w:cs="Times New Roman"/>
          <w:sz w:val="20"/>
          <w:szCs w:val="20"/>
          <w:shd w:val="clear" w:color="auto" w:fill="FFFFFF"/>
        </w:rPr>
        <w:t xml:space="preserve"> the effect of trade openness, foreign reserve volatility, inflation, and output volatility on exchange rate volatility. The results</w:t>
      </w:r>
      <w:r w:rsidR="00545CD2">
        <w:rPr>
          <w:rFonts w:ascii="Times New Roman" w:hAnsi="Times New Roman" w:cs="Times New Roman"/>
          <w:sz w:val="20"/>
          <w:szCs w:val="20"/>
          <w:shd w:val="clear" w:color="auto" w:fill="FFFFFF"/>
        </w:rPr>
        <w:t xml:space="preserve"> </w:t>
      </w:r>
      <w:r w:rsidR="000854E4" w:rsidRPr="004B7B66">
        <w:rPr>
          <w:rFonts w:ascii="Times New Roman" w:hAnsi="Times New Roman" w:cs="Times New Roman"/>
          <w:sz w:val="20"/>
          <w:szCs w:val="20"/>
          <w:shd w:val="clear" w:color="auto" w:fill="FFFFFF"/>
        </w:rPr>
        <w:t xml:space="preserve">showed </w:t>
      </w:r>
      <w:r w:rsidR="00545CD2">
        <w:rPr>
          <w:rFonts w:ascii="Times New Roman" w:hAnsi="Times New Roman" w:cs="Times New Roman"/>
          <w:sz w:val="20"/>
          <w:szCs w:val="20"/>
          <w:shd w:val="clear" w:color="auto" w:fill="FFFFFF"/>
        </w:rPr>
        <w:t xml:space="preserve">that </w:t>
      </w:r>
      <w:r w:rsidR="000854E4" w:rsidRPr="004B7B66">
        <w:rPr>
          <w:rFonts w:ascii="Times New Roman" w:hAnsi="Times New Roman" w:cs="Times New Roman"/>
          <w:sz w:val="20"/>
          <w:szCs w:val="20"/>
          <w:shd w:val="clear" w:color="auto" w:fill="FFFFFF"/>
        </w:rPr>
        <w:t xml:space="preserve">trade openness and foreign reserve volatility have a positive effect on </w:t>
      </w:r>
      <w:r w:rsidR="00545CD2">
        <w:rPr>
          <w:rFonts w:ascii="Times New Roman" w:hAnsi="Times New Roman" w:cs="Times New Roman"/>
          <w:sz w:val="20"/>
          <w:szCs w:val="20"/>
          <w:shd w:val="clear" w:color="auto" w:fill="FFFFFF"/>
        </w:rPr>
        <w:t xml:space="preserve">the </w:t>
      </w:r>
      <w:r w:rsidR="000854E4" w:rsidRPr="004B7B66">
        <w:rPr>
          <w:rFonts w:ascii="Times New Roman" w:hAnsi="Times New Roman" w:cs="Times New Roman"/>
          <w:sz w:val="20"/>
          <w:szCs w:val="20"/>
          <w:shd w:val="clear" w:color="auto" w:fill="FFFFFF"/>
        </w:rPr>
        <w:t xml:space="preserve">Pakistan Rupee exchange rate volatility while inflation and output volatility </w:t>
      </w:r>
      <w:proofErr w:type="spellStart"/>
      <w:r w:rsidR="000854E4" w:rsidRPr="004B7B66">
        <w:rPr>
          <w:rFonts w:ascii="Times New Roman" w:hAnsi="Times New Roman" w:cs="Times New Roman"/>
          <w:sz w:val="20"/>
          <w:szCs w:val="20"/>
          <w:shd w:val="clear" w:color="auto" w:fill="FFFFFF"/>
        </w:rPr>
        <w:t>stabilised</w:t>
      </w:r>
      <w:proofErr w:type="spellEnd"/>
      <w:r w:rsidR="000854E4" w:rsidRPr="004B7B66">
        <w:rPr>
          <w:rFonts w:ascii="Times New Roman" w:hAnsi="Times New Roman" w:cs="Times New Roman"/>
          <w:sz w:val="20"/>
          <w:szCs w:val="20"/>
          <w:shd w:val="clear" w:color="auto" w:fill="FFFFFF"/>
        </w:rPr>
        <w:t xml:space="preserve"> the rate. Furthermore, </w:t>
      </w:r>
      <w:r w:rsidRPr="003F1DAA">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AuthorYear="1"&gt;&lt;Author&gt;Mirchandani&lt;/Author&gt;&lt;Year&gt;2013&lt;/Year&gt;&lt;RecNum&gt;27&lt;/RecNum&gt;&lt;DisplayText&gt;Mirchandani [29]&lt;/DisplayText&gt;&lt;record&gt;&lt;rec-number&gt;27&lt;/rec-number&gt;&lt;foreign-keys&gt;&lt;key app="EN" db-id="w02dva9072e097ez0eov2pwr9fvdzpzav5te"&gt;27&lt;/key&gt;&lt;/foreign-keys&gt;&lt;ref-type name="Journal Article"&gt;17&lt;/ref-type&gt;&lt;contributors&gt;&lt;authors&gt;&lt;author&gt;Mirchandani, Anita&lt;/author&gt;&lt;/authors&gt;&lt;/contributors&gt;&lt;titles&gt;&lt;title&gt;Analysis of macroeconomic determinants of exchange rate volatility in India&lt;/title&gt;&lt;secondary-title&gt;International Journal of Economics and Financial Issues&lt;/secondary-title&gt;&lt;/titles&gt;&lt;pages&gt;172-179&lt;/pages&gt;&lt;volume&gt;3&lt;/volume&gt;&lt;number&gt;1&lt;/number&gt;&lt;dates&gt;&lt;year&gt;2013&lt;/year&gt;&lt;/dates&gt;&lt;urls&gt;&lt;/urls&gt;&lt;/record&gt;&lt;/Cite&gt;&lt;/EndNote&gt;</w:instrText>
      </w:r>
      <w:r w:rsidRPr="003F1DAA">
        <w:rPr>
          <w:rFonts w:ascii="Times New Roman" w:hAnsi="Times New Roman" w:cs="Times New Roman"/>
          <w:color w:val="0000CC"/>
          <w:sz w:val="20"/>
          <w:szCs w:val="20"/>
          <w:shd w:val="clear" w:color="auto" w:fill="FFFFFF"/>
        </w:rPr>
        <w:fldChar w:fldCharType="separate"/>
      </w:r>
      <w:hyperlink w:anchor="_ENREF_29" w:tooltip="Mirchandani, 2013 #27" w:history="1">
        <w:r w:rsidR="00AF2A4C">
          <w:rPr>
            <w:rFonts w:ascii="Times New Roman" w:hAnsi="Times New Roman" w:cs="Times New Roman"/>
            <w:noProof/>
            <w:color w:val="0000CC"/>
            <w:sz w:val="20"/>
            <w:szCs w:val="20"/>
            <w:shd w:val="clear" w:color="auto" w:fill="FFFFFF"/>
          </w:rPr>
          <w:t>Mirchandani [29</w:t>
        </w:r>
      </w:hyperlink>
      <w:r>
        <w:rPr>
          <w:rFonts w:ascii="Times New Roman" w:hAnsi="Times New Roman" w:cs="Times New Roman"/>
          <w:noProof/>
          <w:color w:val="0000CC"/>
          <w:sz w:val="20"/>
          <w:szCs w:val="20"/>
          <w:shd w:val="clear" w:color="auto" w:fill="FFFFFF"/>
        </w:rPr>
        <w:t>]</w:t>
      </w:r>
      <w:r w:rsidRPr="003F1DAA">
        <w:rPr>
          <w:rFonts w:ascii="Times New Roman" w:hAnsi="Times New Roman" w:cs="Times New Roman"/>
          <w:color w:val="0000CC"/>
          <w:sz w:val="20"/>
          <w:szCs w:val="20"/>
          <w:shd w:val="clear" w:color="auto" w:fill="FFFFFF"/>
        </w:rPr>
        <w:fldChar w:fldCharType="end"/>
      </w:r>
      <w:r w:rsidR="000854E4" w:rsidRPr="004B7B66">
        <w:rPr>
          <w:rFonts w:ascii="Times New Roman" w:hAnsi="Times New Roman" w:cs="Times New Roman"/>
          <w:sz w:val="20"/>
          <w:szCs w:val="20"/>
          <w:shd w:val="clear" w:color="auto" w:fill="FFFFFF"/>
        </w:rPr>
        <w:t xml:space="preserve"> examined the effect of macroeconomic variables such as interest rate, inflation, GDP, foreign direct investment, and current account on domestic currency volatility in India using annual data for the period  1991 to 2010. The results found a negative influence of interest rate, inflation, and current account on exchange rate volatility, while GDP and foreign direct investment have a positive influence on domestic currency stability.</w:t>
      </w:r>
    </w:p>
    <w:p w14:paraId="6E1A2B33" w14:textId="77777777" w:rsidR="009A132C" w:rsidRDefault="009A132C" w:rsidP="00776F87">
      <w:pPr>
        <w:pStyle w:val="005ChapterHigh"/>
      </w:pPr>
    </w:p>
    <w:p w14:paraId="3AFBC75A" w14:textId="784D1508" w:rsidR="000854E4" w:rsidRPr="009A132C" w:rsidRDefault="009A132C" w:rsidP="00776F87">
      <w:pPr>
        <w:pStyle w:val="005ChapterHigh"/>
      </w:pPr>
      <w:r w:rsidRPr="009A132C">
        <w:t>3. Data and Methodology</w:t>
      </w:r>
    </w:p>
    <w:p w14:paraId="681B95FE" w14:textId="77777777" w:rsidR="000854E4" w:rsidRPr="009A132C" w:rsidRDefault="000854E4" w:rsidP="004B7B6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Cs/>
          <w:i/>
          <w:iCs/>
          <w:shd w:val="clear" w:color="auto" w:fill="FFFFFF"/>
        </w:rPr>
      </w:pPr>
      <w:r w:rsidRPr="009A132C">
        <w:rPr>
          <w:rFonts w:ascii="Times New Roman" w:hAnsi="Times New Roman" w:cs="Times New Roman"/>
          <w:bCs/>
          <w:i/>
          <w:iCs/>
          <w:shd w:val="clear" w:color="auto" w:fill="FFFFFF"/>
        </w:rPr>
        <w:t>3.1 Data</w:t>
      </w:r>
    </w:p>
    <w:p w14:paraId="05562A5D" w14:textId="76357128" w:rsidR="000854E4" w:rsidRPr="004B7B66" w:rsidRDefault="000854E4" w:rsidP="009A132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360"/>
        <w:jc w:val="both"/>
        <w:rPr>
          <w:rFonts w:ascii="Times New Roman" w:hAnsi="Times New Roman" w:cs="Times New Roman"/>
        </w:rPr>
      </w:pPr>
      <w:r w:rsidRPr="004B7B66">
        <w:rPr>
          <w:rFonts w:ascii="Times New Roman" w:hAnsi="Times New Roman" w:cs="Times New Roman"/>
          <w:shd w:val="clear" w:color="auto" w:fill="FFFFFF"/>
        </w:rPr>
        <w:t>This study used time-series quarterly data from 1992 to 2019 and some other secondary data were obtained online from the official publication of the World Bank's Global Financial Development Database and International Financial Statistics published by the</w:t>
      </w:r>
      <w:r w:rsidR="00CA4577">
        <w:rPr>
          <w:rFonts w:ascii="Times New Roman" w:hAnsi="Times New Roman" w:cs="Times New Roman"/>
          <w:shd w:val="clear" w:color="auto" w:fill="FFFFFF"/>
        </w:rPr>
        <w:t xml:space="preserve"> </w:t>
      </w:r>
      <w:r w:rsidR="00CA4577" w:rsidRPr="00B90F30">
        <w:rPr>
          <w:rFonts w:ascii="Times New Roman" w:hAnsi="Times New Roman" w:cs="Times New Roman"/>
          <w:shd w:val="clear" w:color="auto" w:fill="FFFFFF"/>
        </w:rPr>
        <w:t>International Monetary Fund</w:t>
      </w:r>
      <w:r w:rsidRPr="00B90F30">
        <w:rPr>
          <w:rFonts w:ascii="Times New Roman" w:hAnsi="Times New Roman" w:cs="Times New Roman"/>
          <w:shd w:val="clear" w:color="auto" w:fill="FFFFFF"/>
        </w:rPr>
        <w:t xml:space="preserve"> </w:t>
      </w:r>
      <w:r w:rsidR="00CA4577" w:rsidRPr="00B90F30">
        <w:rPr>
          <w:rFonts w:ascii="Times New Roman" w:hAnsi="Times New Roman" w:cs="Times New Roman"/>
          <w:shd w:val="clear" w:color="auto" w:fill="FFFFFF"/>
        </w:rPr>
        <w:t>(</w:t>
      </w:r>
      <w:r w:rsidRPr="00B90F30">
        <w:rPr>
          <w:rFonts w:ascii="Times New Roman" w:hAnsi="Times New Roman" w:cs="Times New Roman"/>
          <w:shd w:val="clear" w:color="auto" w:fill="FFFFFF"/>
        </w:rPr>
        <w:t>IMF</w:t>
      </w:r>
      <w:r w:rsidR="00CA4577" w:rsidRPr="00B90F30">
        <w:rPr>
          <w:rFonts w:ascii="Times New Roman" w:hAnsi="Times New Roman" w:cs="Times New Roman"/>
          <w:shd w:val="clear" w:color="auto" w:fill="FFFFFF"/>
        </w:rPr>
        <w:t>)</w:t>
      </w:r>
      <w:r w:rsidRPr="00B90F30">
        <w:rPr>
          <w:rFonts w:ascii="Times New Roman" w:hAnsi="Times New Roman" w:cs="Times New Roman"/>
          <w:shd w:val="clear" w:color="auto" w:fill="FFFFFF"/>
        </w:rPr>
        <w:t>. Moreover</w:t>
      </w:r>
      <w:r w:rsidRPr="004B7B66">
        <w:rPr>
          <w:rFonts w:ascii="Times New Roman" w:hAnsi="Times New Roman" w:cs="Times New Roman"/>
          <w:shd w:val="clear" w:color="auto" w:fill="FFFFFF"/>
        </w:rPr>
        <w:t xml:space="preserve">, the exchange rate was defined as the bilateral rate of the Rupiah against the US dollar, Singaporean Dollar, Australia Dollar, Pound Sterling and Euro. Therefore, an increase in IDR was assumed to cause the opponent exchange rate depreciation and vice versa. </w:t>
      </w:r>
    </w:p>
    <w:p w14:paraId="55A3D347" w14:textId="4B1E915D" w:rsidR="000854E4" w:rsidRPr="004B7B66" w:rsidRDefault="00545CD2" w:rsidP="009A132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360"/>
        <w:jc w:val="both"/>
        <w:rPr>
          <w:rFonts w:ascii="Times New Roman" w:hAnsi="Times New Roman" w:cs="Times New Roman"/>
          <w:shd w:val="clear" w:color="auto" w:fill="FFFFFF"/>
        </w:rPr>
      </w:pPr>
      <w:r>
        <w:rPr>
          <w:rFonts w:ascii="Times New Roman" w:hAnsi="Times New Roman" w:cs="Times New Roman"/>
          <w:shd w:val="clear" w:color="auto" w:fill="FFFFFF"/>
        </w:rPr>
        <w:t xml:space="preserve">The </w:t>
      </w:r>
      <w:r w:rsidR="000854E4" w:rsidRPr="004B7B66">
        <w:rPr>
          <w:rFonts w:ascii="Times New Roman" w:hAnsi="Times New Roman" w:cs="Times New Roman"/>
          <w:shd w:val="clear" w:color="auto" w:fill="FFFFFF"/>
        </w:rPr>
        <w:t xml:space="preserve">Central </w:t>
      </w:r>
      <w:r>
        <w:rPr>
          <w:rFonts w:ascii="Times New Roman" w:hAnsi="Times New Roman" w:cs="Times New Roman"/>
          <w:shd w:val="clear" w:color="auto" w:fill="FFFFFF"/>
        </w:rPr>
        <w:t>B</w:t>
      </w:r>
      <w:r w:rsidR="000854E4" w:rsidRPr="004B7B66">
        <w:rPr>
          <w:rFonts w:ascii="Times New Roman" w:hAnsi="Times New Roman" w:cs="Times New Roman"/>
          <w:shd w:val="clear" w:color="auto" w:fill="FFFFFF"/>
        </w:rPr>
        <w:t xml:space="preserve">ank rate was defined as the interest rate set by Bank Indonesia as a reference for commercial banking institutions in extending credit and </w:t>
      </w:r>
      <w:r>
        <w:rPr>
          <w:rFonts w:ascii="Times New Roman" w:hAnsi="Times New Roman" w:cs="Times New Roman"/>
          <w:shd w:val="clear" w:color="auto" w:fill="FFFFFF"/>
        </w:rPr>
        <w:t xml:space="preserve">is </w:t>
      </w:r>
      <w:r w:rsidR="000854E4" w:rsidRPr="004B7B66">
        <w:rPr>
          <w:rFonts w:ascii="Times New Roman" w:hAnsi="Times New Roman" w:cs="Times New Roman"/>
          <w:shd w:val="clear" w:color="auto" w:fill="FFFFFF"/>
        </w:rPr>
        <w:t xml:space="preserve">usually expressed as a percentage (%). This rate has been assumed by </w:t>
      </w:r>
      <w:r w:rsidR="003F1DAA" w:rsidRPr="003F1DAA">
        <w:rPr>
          <w:rFonts w:ascii="Times New Roman" w:hAnsi="Times New Roman" w:cs="Times New Roman"/>
          <w:color w:val="0000CC"/>
          <w:shd w:val="clear" w:color="auto" w:fill="FFFFFF"/>
        </w:rPr>
        <w:fldChar w:fldCharType="begin"/>
      </w:r>
      <w:r w:rsidR="00AF2A4C">
        <w:rPr>
          <w:rFonts w:ascii="Times New Roman" w:hAnsi="Times New Roman" w:cs="Times New Roman"/>
          <w:color w:val="0000CC"/>
          <w:shd w:val="clear" w:color="auto" w:fill="FFFFFF"/>
        </w:rPr>
        <w:instrText xml:space="preserve"> ADDIN EN.CITE &lt;EndNote&gt;&lt;Cite AuthorYear="1"&gt;&lt;Author&gt;Mirchandani&lt;/Author&gt;&lt;Year&gt;2013&lt;/Year&gt;&lt;RecNum&gt;27&lt;/RecNum&gt;&lt;DisplayText&gt;Mirchandani [29]&lt;/DisplayText&gt;&lt;record&gt;&lt;rec-number&gt;27&lt;/rec-number&gt;&lt;foreign-keys&gt;&lt;key app="EN" db-id="w02dva9072e097ez0eov2pwr9fvdzpzav5te"&gt;27&lt;/key&gt;&lt;/foreign-keys&gt;&lt;ref-type name="Journal Article"&gt;17&lt;/ref-type&gt;&lt;contributors&gt;&lt;authors&gt;&lt;author&gt;Mirchandani, Anita&lt;/author&gt;&lt;/authors&gt;&lt;/contributors&gt;&lt;titles&gt;&lt;title&gt;Analysis of macroeconomic determinants of exchange rate volatility in India&lt;/title&gt;&lt;secondary-title&gt;International Journal of Economics and Financial Issues&lt;/secondary-title&gt;&lt;/titles&gt;&lt;pages&gt;172-179&lt;/pages&gt;&lt;volume&gt;3&lt;/volume&gt;&lt;number&gt;1&lt;/number&gt;&lt;dates&gt;&lt;year&gt;2013&lt;/year&gt;&lt;/dates&gt;&lt;urls&gt;&lt;/urls&gt;&lt;/record&gt;&lt;/Cite&gt;&lt;/EndNote&gt;</w:instrText>
      </w:r>
      <w:r w:rsidR="003F1DAA" w:rsidRPr="003F1DAA">
        <w:rPr>
          <w:rFonts w:ascii="Times New Roman" w:hAnsi="Times New Roman" w:cs="Times New Roman"/>
          <w:color w:val="0000CC"/>
          <w:shd w:val="clear" w:color="auto" w:fill="FFFFFF"/>
        </w:rPr>
        <w:fldChar w:fldCharType="separate"/>
      </w:r>
      <w:hyperlink w:anchor="_ENREF_29" w:tooltip="Mirchandani, 2013 #27" w:history="1">
        <w:r w:rsidR="00AF2A4C">
          <w:rPr>
            <w:rFonts w:ascii="Times New Roman" w:hAnsi="Times New Roman" w:cs="Times New Roman"/>
            <w:noProof/>
            <w:color w:val="0000CC"/>
            <w:shd w:val="clear" w:color="auto" w:fill="FFFFFF"/>
          </w:rPr>
          <w:t>Mirchandani [29</w:t>
        </w:r>
      </w:hyperlink>
      <w:r w:rsidR="003F1DAA">
        <w:rPr>
          <w:rFonts w:ascii="Times New Roman" w:hAnsi="Times New Roman" w:cs="Times New Roman"/>
          <w:noProof/>
          <w:color w:val="0000CC"/>
          <w:shd w:val="clear" w:color="auto" w:fill="FFFFFF"/>
        </w:rPr>
        <w:t>]</w:t>
      </w:r>
      <w:r w:rsidR="003F1DAA" w:rsidRPr="003F1DAA">
        <w:rPr>
          <w:rFonts w:ascii="Times New Roman" w:hAnsi="Times New Roman" w:cs="Times New Roman"/>
          <w:color w:val="0000CC"/>
          <w:shd w:val="clear" w:color="auto" w:fill="FFFFFF"/>
        </w:rPr>
        <w:fldChar w:fldCharType="end"/>
      </w:r>
      <w:r w:rsidR="003F1DAA">
        <w:rPr>
          <w:rFonts w:ascii="Times New Roman" w:hAnsi="Times New Roman" w:cs="Times New Roman"/>
          <w:shd w:val="clear" w:color="auto" w:fill="FFFFFF"/>
        </w:rPr>
        <w:t>;</w:t>
      </w:r>
      <w:r w:rsidR="000854E4" w:rsidRPr="004B7B66">
        <w:rPr>
          <w:rFonts w:ascii="Times New Roman" w:hAnsi="Times New Roman" w:cs="Times New Roman"/>
          <w:shd w:val="clear" w:color="auto" w:fill="FFFFFF"/>
        </w:rPr>
        <w:t xml:space="preserve"> </w:t>
      </w:r>
      <w:r w:rsidR="003F1DAA" w:rsidRPr="003F1DAA">
        <w:rPr>
          <w:rFonts w:ascii="Times New Roman" w:hAnsi="Times New Roman" w:cs="Times New Roman"/>
          <w:color w:val="0000CC"/>
          <w:shd w:val="clear" w:color="auto" w:fill="FFFFFF"/>
        </w:rPr>
        <w:fldChar w:fldCharType="begin"/>
      </w:r>
      <w:r w:rsidR="00AF2A4C">
        <w:rPr>
          <w:rFonts w:ascii="Times New Roman" w:hAnsi="Times New Roman" w:cs="Times New Roman"/>
          <w:color w:val="0000CC"/>
          <w:shd w:val="clear" w:color="auto" w:fill="FFFFFF"/>
        </w:rPr>
        <w:instrText xml:space="preserve"> ADDIN EN.CITE &lt;EndNote&gt;&lt;Cite AuthorYear="1"&gt;&lt;Author&gt;Saha&lt;/Author&gt;&lt;Year&gt;2014&lt;/Year&gt;&lt;RecNum&gt;32&lt;/RecNum&gt;&lt;DisplayText&gt;Saha and Biswas [28]&lt;/DisplayText&gt;&lt;record&gt;&lt;rec-number&gt;32&lt;/rec-number&gt;&lt;foreign-keys&gt;&lt;key app="EN" db-id="w02dva9072e097ez0eov2pwr9fvdzpzav5te"&gt;32&lt;/key&gt;&lt;/foreign-keys&gt;&lt;ref-type name="Journal Article"&gt;17&lt;/ref-type&gt;&lt;contributors&gt;&lt;authors&gt;&lt;author&gt;Saha, A. K.&lt;/author&gt;&lt;author&gt;Biswas, S.&lt;/author&gt;&lt;/authors&gt;&lt;/contributors&gt;&lt;titles&gt;&lt;title&gt;Macroeconomic fundamentals and exchange rate volatility during the floating exchange rate regime in India&lt;/title&gt;&lt;secondary-title&gt;International Journal of Economics &amp;amp; Management&lt;/secondary-title&gt;&lt;/titles&gt;&lt;pages&gt;10-39&lt;/pages&gt;&lt;volume&gt;8&lt;/volume&gt;&lt;number&gt;1&lt;/number&gt;&lt;dates&gt;&lt;year&gt;2014&lt;/year&gt;&lt;/dates&gt;&lt;isbn&gt;1823-836X&lt;/isbn&gt;&lt;urls&gt;&lt;/urls&gt;&lt;/record&gt;&lt;/Cite&gt;&lt;/EndNote&gt;</w:instrText>
      </w:r>
      <w:r w:rsidR="003F1DAA" w:rsidRPr="003F1DAA">
        <w:rPr>
          <w:rFonts w:ascii="Times New Roman" w:hAnsi="Times New Roman" w:cs="Times New Roman"/>
          <w:color w:val="0000CC"/>
          <w:shd w:val="clear" w:color="auto" w:fill="FFFFFF"/>
        </w:rPr>
        <w:fldChar w:fldCharType="separate"/>
      </w:r>
      <w:hyperlink w:anchor="_ENREF_28" w:tooltip="Saha, 2014 #32" w:history="1">
        <w:r w:rsidR="00AF2A4C">
          <w:rPr>
            <w:rFonts w:ascii="Times New Roman" w:hAnsi="Times New Roman" w:cs="Times New Roman"/>
            <w:noProof/>
            <w:color w:val="0000CC"/>
            <w:shd w:val="clear" w:color="auto" w:fill="FFFFFF"/>
          </w:rPr>
          <w:t>Saha and Biswas [28</w:t>
        </w:r>
      </w:hyperlink>
      <w:r w:rsidR="003F1DAA">
        <w:rPr>
          <w:rFonts w:ascii="Times New Roman" w:hAnsi="Times New Roman" w:cs="Times New Roman"/>
          <w:noProof/>
          <w:color w:val="0000CC"/>
          <w:shd w:val="clear" w:color="auto" w:fill="FFFFFF"/>
        </w:rPr>
        <w:t>]</w:t>
      </w:r>
      <w:r w:rsidR="003F1DAA" w:rsidRPr="003F1DAA">
        <w:rPr>
          <w:rFonts w:ascii="Times New Roman" w:hAnsi="Times New Roman" w:cs="Times New Roman"/>
          <w:color w:val="0000CC"/>
          <w:shd w:val="clear" w:color="auto" w:fill="FFFFFF"/>
        </w:rPr>
        <w:fldChar w:fldCharType="end"/>
      </w:r>
      <w:r w:rsidR="003F1DAA">
        <w:rPr>
          <w:rFonts w:ascii="Times New Roman" w:hAnsi="Times New Roman" w:cs="Times New Roman"/>
          <w:shd w:val="clear" w:color="auto" w:fill="FFFFFF"/>
        </w:rPr>
        <w:t xml:space="preserve">; </w:t>
      </w:r>
      <w:r w:rsidR="003F1DAA" w:rsidRPr="003F1DAA">
        <w:rPr>
          <w:rFonts w:ascii="Times New Roman" w:hAnsi="Times New Roman" w:cs="Times New Roman"/>
          <w:color w:val="0000CC"/>
          <w:shd w:val="clear" w:color="auto" w:fill="FFFFFF"/>
        </w:rPr>
        <w:fldChar w:fldCharType="begin"/>
      </w:r>
      <w:r w:rsidR="00AF2A4C">
        <w:rPr>
          <w:rFonts w:ascii="Times New Roman" w:hAnsi="Times New Roman" w:cs="Times New Roman"/>
          <w:color w:val="0000CC"/>
          <w:shd w:val="clear" w:color="auto" w:fill="FFFFFF"/>
        </w:rPr>
        <w:instrText xml:space="preserve"> ADDIN EN.CITE &lt;EndNote&gt;&lt;Cite AuthorYear="1"&gt;&lt;Author&gt;Ali&lt;/Author&gt;&lt;Year&gt;2015&lt;/Year&gt;&lt;RecNum&gt;4&lt;/RecNum&gt;&lt;DisplayText&gt;Ali, et al. [27]&lt;/DisplayText&gt;&lt;record&gt;&lt;rec-number&gt;4&lt;/rec-number&gt;&lt;foreign-keys&gt;&lt;key app="EN" db-id="w02dva9072e097ez0eov2pwr9fvdzpzav5te"&gt;4&lt;/key&gt;&lt;/foreign-keys&gt;&lt;ref-type name="Journal Article"&gt;17&lt;/ref-type&gt;&lt;contributors&gt;&lt;authors&gt;&lt;author&gt;Ali, Tariq Mahmood&lt;/author&gt;&lt;author&gt;Mahmood, Muhammad Tariq&lt;/author&gt;&lt;author&gt;Bashir, Tariq&lt;/author&gt;&lt;/authors&gt;&lt;/contributors&gt;&lt;titles&gt;&lt;title&gt;Impact of interest rate, inflation and money supply on exchange rate volatility in Pakistan&lt;/title&gt;&lt;secondary-title&gt;World Applied Sciences Journal&lt;/secondary-title&gt;&lt;/titles&gt;&lt;pages&gt;620-630&lt;/pages&gt;&lt;volume&gt;33&lt;/volume&gt;&lt;number&gt;4&lt;/number&gt;&lt;dates&gt;&lt;year&gt;2015&lt;/year&gt;&lt;/dates&gt;&lt;isbn&gt;1818-4952&lt;/isbn&gt;&lt;urls&gt;&lt;/urls&gt;&lt;/record&gt;&lt;/Cite&gt;&lt;/EndNote&gt;</w:instrText>
      </w:r>
      <w:r w:rsidR="003F1DAA" w:rsidRPr="003F1DAA">
        <w:rPr>
          <w:rFonts w:ascii="Times New Roman" w:hAnsi="Times New Roman" w:cs="Times New Roman"/>
          <w:color w:val="0000CC"/>
          <w:shd w:val="clear" w:color="auto" w:fill="FFFFFF"/>
        </w:rPr>
        <w:fldChar w:fldCharType="separate"/>
      </w:r>
      <w:hyperlink w:anchor="_ENREF_27" w:tooltip="Ali, 2015 #4" w:history="1">
        <w:r w:rsidR="00AF2A4C">
          <w:rPr>
            <w:rFonts w:ascii="Times New Roman" w:hAnsi="Times New Roman" w:cs="Times New Roman"/>
            <w:noProof/>
            <w:color w:val="0000CC"/>
            <w:shd w:val="clear" w:color="auto" w:fill="FFFFFF"/>
          </w:rPr>
          <w:t>Ali et al. [27</w:t>
        </w:r>
      </w:hyperlink>
      <w:r w:rsidR="003F1DAA">
        <w:rPr>
          <w:rFonts w:ascii="Times New Roman" w:hAnsi="Times New Roman" w:cs="Times New Roman"/>
          <w:noProof/>
          <w:color w:val="0000CC"/>
          <w:shd w:val="clear" w:color="auto" w:fill="FFFFFF"/>
        </w:rPr>
        <w:t>]</w:t>
      </w:r>
      <w:r w:rsidR="003F1DAA" w:rsidRPr="003F1DAA">
        <w:rPr>
          <w:rFonts w:ascii="Times New Roman" w:hAnsi="Times New Roman" w:cs="Times New Roman"/>
          <w:color w:val="0000CC"/>
          <w:shd w:val="clear" w:color="auto" w:fill="FFFFFF"/>
        </w:rPr>
        <w:fldChar w:fldCharType="end"/>
      </w:r>
      <w:r w:rsidR="000854E4" w:rsidRPr="004B7B66">
        <w:rPr>
          <w:rFonts w:ascii="Times New Roman" w:hAnsi="Times New Roman" w:cs="Times New Roman"/>
          <w:shd w:val="clear" w:color="auto" w:fill="FFFFFF"/>
        </w:rPr>
        <w:t xml:space="preserve"> and </w:t>
      </w:r>
      <w:r w:rsidR="003F1DAA" w:rsidRPr="003F1DAA">
        <w:rPr>
          <w:rFonts w:ascii="Times New Roman" w:hAnsi="Times New Roman" w:cs="Times New Roman"/>
          <w:color w:val="0000CC"/>
          <w:shd w:val="clear" w:color="auto" w:fill="FFFFFF"/>
        </w:rPr>
        <w:fldChar w:fldCharType="begin"/>
      </w:r>
      <w:r w:rsidR="00AF2A4C">
        <w:rPr>
          <w:rFonts w:ascii="Times New Roman" w:hAnsi="Times New Roman" w:cs="Times New Roman"/>
          <w:color w:val="0000CC"/>
          <w:shd w:val="clear" w:color="auto" w:fill="FFFFFF"/>
        </w:rPr>
        <w:instrText xml:space="preserve"> ADDIN EN.CITE &lt;EndNote&gt;&lt;Cite AuthorYear="1"&gt;&lt;Author&gt;Khin&lt;/Author&gt;&lt;Year&gt;2017&lt;/Year&gt;&lt;RecNum&gt;22&lt;/RecNum&gt;&lt;DisplayText&gt;Khin, et al. [26]&lt;/DisplayText&gt;&lt;record&gt;&lt;rec-number&gt;22&lt;/rec-number&gt;&lt;foreign-keys&gt;&lt;key app="EN" db-id="w02dva9072e097ez0eov2pwr9fvdzpzav5te"&gt;22&lt;/key&gt;&lt;/foreign-keys&gt;&lt;ref-type name="Journal Article"&gt;17&lt;/ref-type&gt;&lt;contributors&gt;&lt;authors&gt;&lt;author&gt;Khin, Aye Aye&lt;/author&gt;&lt;author&gt;Yee, Chiow Yet&lt;/author&gt;&lt;author&gt;Seng, Ler Su&lt;/author&gt;&lt;author&gt;Wan, Chan Mei&lt;/author&gt;&lt;author&gt;Xian, Goh Qi&lt;/author&gt;&lt;/authors&gt;&lt;/contributors&gt;&lt;titles&gt;&lt;title&gt;Exchange rate volatility on macroeconomıc determinants in Malaysia: Vector error correction method (VECM) model&lt;/title&gt;&lt;secondary-title&gt;Journal of Global Business and Social Entrepreneurship&lt;/secondary-title&gt;&lt;/titles&gt;&lt;pages&gt;36-45&lt;/pages&gt;&lt;volume&gt;3&lt;/volume&gt;&lt;number&gt;5&lt;/number&gt;&lt;dates&gt;&lt;year&gt;2017&lt;/year&gt;&lt;/dates&gt;&lt;urls&gt;&lt;/urls&gt;&lt;/record&gt;&lt;/Cite&gt;&lt;/EndNote&gt;</w:instrText>
      </w:r>
      <w:r w:rsidR="003F1DAA" w:rsidRPr="003F1DAA">
        <w:rPr>
          <w:rFonts w:ascii="Times New Roman" w:hAnsi="Times New Roman" w:cs="Times New Roman"/>
          <w:color w:val="0000CC"/>
          <w:shd w:val="clear" w:color="auto" w:fill="FFFFFF"/>
        </w:rPr>
        <w:fldChar w:fldCharType="separate"/>
      </w:r>
      <w:hyperlink w:anchor="_ENREF_26" w:tooltip="Khin, 2017 #22" w:history="1">
        <w:r w:rsidR="00AF2A4C">
          <w:rPr>
            <w:rFonts w:ascii="Times New Roman" w:hAnsi="Times New Roman" w:cs="Times New Roman"/>
            <w:noProof/>
            <w:color w:val="0000CC"/>
            <w:shd w:val="clear" w:color="auto" w:fill="FFFFFF"/>
          </w:rPr>
          <w:t>Khin et al. [26</w:t>
        </w:r>
      </w:hyperlink>
      <w:r w:rsidR="003F1DAA">
        <w:rPr>
          <w:rFonts w:ascii="Times New Roman" w:hAnsi="Times New Roman" w:cs="Times New Roman"/>
          <w:noProof/>
          <w:color w:val="0000CC"/>
          <w:shd w:val="clear" w:color="auto" w:fill="FFFFFF"/>
        </w:rPr>
        <w:t>]</w:t>
      </w:r>
      <w:r w:rsidR="003F1DAA" w:rsidRPr="003F1DAA">
        <w:rPr>
          <w:rFonts w:ascii="Times New Roman" w:hAnsi="Times New Roman" w:cs="Times New Roman"/>
          <w:color w:val="0000CC"/>
          <w:shd w:val="clear" w:color="auto" w:fill="FFFFFF"/>
        </w:rPr>
        <w:fldChar w:fldCharType="end"/>
      </w:r>
      <w:r w:rsidR="000854E4" w:rsidRPr="004B7B66">
        <w:rPr>
          <w:rFonts w:ascii="Times New Roman" w:hAnsi="Times New Roman" w:cs="Times New Roman"/>
          <w:shd w:val="clear" w:color="auto" w:fill="FFFFFF"/>
        </w:rPr>
        <w:t xml:space="preserve"> to have a positive effect on domestic currency volatility due to higher interest rate usually associated with the increase in central bank rate. This normally boosts capital inflow to domestic business</w:t>
      </w:r>
      <w:r>
        <w:rPr>
          <w:rFonts w:ascii="Times New Roman" w:hAnsi="Times New Roman" w:cs="Times New Roman"/>
          <w:shd w:val="clear" w:color="auto" w:fill="FFFFFF"/>
        </w:rPr>
        <w:t>es</w:t>
      </w:r>
      <w:r w:rsidR="000854E4" w:rsidRPr="004B7B66">
        <w:rPr>
          <w:rFonts w:ascii="Times New Roman" w:hAnsi="Times New Roman" w:cs="Times New Roman"/>
          <w:shd w:val="clear" w:color="auto" w:fill="FFFFFF"/>
        </w:rPr>
        <w:t xml:space="preserve"> due to its ability to attract investors, thereby stabilising the exchange rate.</w:t>
      </w:r>
    </w:p>
    <w:p w14:paraId="08ED2C0E" w14:textId="3033CE96" w:rsidR="000854E4" w:rsidRPr="004B7B66" w:rsidRDefault="000854E4" w:rsidP="009A132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360"/>
        <w:jc w:val="both"/>
        <w:rPr>
          <w:rFonts w:ascii="Times New Roman" w:hAnsi="Times New Roman" w:cs="Times New Roman"/>
          <w:shd w:val="clear" w:color="auto" w:fill="FFFFFF"/>
        </w:rPr>
      </w:pPr>
      <w:r w:rsidRPr="004B7B66">
        <w:rPr>
          <w:rFonts w:ascii="Times New Roman" w:hAnsi="Times New Roman" w:cs="Times New Roman"/>
          <w:shd w:val="clear" w:color="auto" w:fill="FFFFFF"/>
        </w:rPr>
        <w:t xml:space="preserve">Several control variables with significant effects on exchange rate volatility were added in accordance with previous studies such as output gap as observed in </w:t>
      </w:r>
      <w:r w:rsidR="00757003" w:rsidRPr="00757003">
        <w:rPr>
          <w:rFonts w:ascii="Times New Roman" w:hAnsi="Times New Roman" w:cs="Times New Roman"/>
          <w:color w:val="0000CC"/>
          <w:shd w:val="clear" w:color="auto" w:fill="FFFFFF"/>
        </w:rPr>
        <w:fldChar w:fldCharType="begin"/>
      </w:r>
      <w:r w:rsidR="00AF2A4C">
        <w:rPr>
          <w:rFonts w:ascii="Times New Roman" w:hAnsi="Times New Roman" w:cs="Times New Roman"/>
          <w:color w:val="0000CC"/>
          <w:shd w:val="clear" w:color="auto" w:fill="FFFFFF"/>
        </w:rPr>
        <w:instrText xml:space="preserve"> ADDIN EN.CITE &lt;EndNote&gt;&lt;Cite AuthorYear="1"&gt;&lt;Author&gt;Kilicarslan&lt;/Author&gt;&lt;Year&gt;2018&lt;/Year&gt;&lt;RecNum&gt;23&lt;/RecNum&gt;&lt;DisplayText&gt;Kilicarslan [12]&lt;/DisplayText&gt;&lt;record&gt;&lt;rec-number&gt;23&lt;/rec-number&gt;&lt;foreign-keys&gt;&lt;key app="EN" db-id="w02dva9072e097ez0eov2pwr9fvdzpzav5te"&gt;23&lt;/key&gt;&lt;/foreign-keys&gt;&lt;ref-type name="Journal Article"&gt;17&lt;/ref-type&gt;&lt;contributors&gt;&lt;authors&gt;&lt;author&gt;Kilicarslan, Zerrin&lt;/author&gt;&lt;/authors&gt;&lt;/contributors&gt;&lt;titles&gt;&lt;title&gt;Determinants of exchange rate volatility: Empirical evidence for Turkey&lt;/title&gt;&lt;secondary-title&gt;Journal of Economics Finance and Accounting&lt;/secondary-title&gt;&lt;/titles&gt;&lt;pages&gt;204-213&lt;/pages&gt;&lt;volume&gt;5&lt;/volume&gt;&lt;number&gt;2&lt;/number&gt;&lt;dates&gt;&lt;year&gt;2018&lt;/year&gt;&lt;/dates&gt;&lt;urls&gt;&lt;/urls&gt;&lt;electronic-resource-num&gt;https://doi.org/10.17261/pressacademia.2018.825&lt;/electronic-resource-num&gt;&lt;/record&gt;&lt;/Cite&gt;&lt;/EndNote&gt;</w:instrText>
      </w:r>
      <w:r w:rsidR="00757003" w:rsidRPr="00757003">
        <w:rPr>
          <w:rFonts w:ascii="Times New Roman" w:hAnsi="Times New Roman" w:cs="Times New Roman"/>
          <w:color w:val="0000CC"/>
          <w:shd w:val="clear" w:color="auto" w:fill="FFFFFF"/>
        </w:rPr>
        <w:fldChar w:fldCharType="separate"/>
      </w:r>
      <w:hyperlink w:anchor="_ENREF_12" w:tooltip="Kilicarslan, 2018 #23" w:history="1">
        <w:r w:rsidR="00AF2A4C">
          <w:rPr>
            <w:rFonts w:ascii="Times New Roman" w:hAnsi="Times New Roman" w:cs="Times New Roman"/>
            <w:noProof/>
            <w:color w:val="0000CC"/>
            <w:shd w:val="clear" w:color="auto" w:fill="FFFFFF"/>
          </w:rPr>
          <w:t>Kilicarslan [12</w:t>
        </w:r>
      </w:hyperlink>
      <w:r w:rsidR="00757003">
        <w:rPr>
          <w:rFonts w:ascii="Times New Roman" w:hAnsi="Times New Roman" w:cs="Times New Roman"/>
          <w:noProof/>
          <w:color w:val="0000CC"/>
          <w:shd w:val="clear" w:color="auto" w:fill="FFFFFF"/>
        </w:rPr>
        <w:t>]</w:t>
      </w:r>
      <w:r w:rsidR="00757003" w:rsidRPr="00757003">
        <w:rPr>
          <w:rFonts w:ascii="Times New Roman" w:hAnsi="Times New Roman" w:cs="Times New Roman"/>
          <w:color w:val="0000CC"/>
          <w:shd w:val="clear" w:color="auto" w:fill="FFFFFF"/>
        </w:rPr>
        <w:fldChar w:fldCharType="end"/>
      </w:r>
      <w:r w:rsidR="003F1DAA">
        <w:rPr>
          <w:rFonts w:ascii="Times New Roman" w:hAnsi="Times New Roman" w:cs="Times New Roman"/>
          <w:shd w:val="clear" w:color="auto" w:fill="FFFFFF"/>
        </w:rPr>
        <w:t>;</w:t>
      </w:r>
      <w:r w:rsidRPr="004B7B66">
        <w:rPr>
          <w:rFonts w:ascii="Times New Roman" w:hAnsi="Times New Roman" w:cs="Times New Roman"/>
          <w:shd w:val="clear" w:color="auto" w:fill="FFFFFF"/>
        </w:rPr>
        <w:t xml:space="preserve"> </w:t>
      </w:r>
      <w:r w:rsidR="00757003" w:rsidRPr="00757003">
        <w:rPr>
          <w:rFonts w:ascii="Times New Roman" w:hAnsi="Times New Roman" w:cs="Times New Roman"/>
          <w:color w:val="0000CC"/>
          <w:shd w:val="clear" w:color="auto" w:fill="FFFFFF"/>
        </w:rPr>
        <w:fldChar w:fldCharType="begin"/>
      </w:r>
      <w:r w:rsidR="00AF2A4C">
        <w:rPr>
          <w:rFonts w:ascii="Times New Roman" w:hAnsi="Times New Roman" w:cs="Times New Roman"/>
          <w:color w:val="0000CC"/>
          <w:shd w:val="clear" w:color="auto" w:fill="FFFFFF"/>
        </w:rPr>
        <w:instrText xml:space="preserve"> ADDIN EN.CITE &lt;EndNote&gt;&lt;Cite AuthorYear="1"&gt;&lt;Author&gt;Hassan&lt;/Author&gt;&lt;Year&gt;2017&lt;/Year&gt;&lt;RecNum&gt;18&lt;/RecNum&gt;&lt;DisplayText&gt;Hassan and Dantama [30]&lt;/DisplayText&gt;&lt;record&gt;&lt;rec-number&gt;18&lt;/rec-number&gt;&lt;foreign-keys&gt;&lt;key app="EN" db-id="w02dva9072e097ez0eov2pwr9fvdzpzav5te"&gt;18&lt;/key&gt;&lt;/foreign-keys&gt;&lt;ref-type name="Journal Article"&gt;17&lt;/ref-type&gt;&lt;contributors&gt;&lt;authors&gt;&lt;author&gt;Hassan, Adamu&lt;/author&gt;&lt;author&gt;Dantama, Yusuf Umar&lt;/author&gt;&lt;/authors&gt;&lt;/contributors&gt;&lt;titles&gt;&lt;title&gt;Determinants of exchange rate volatility: New estimates from Nigeria&lt;/title&gt;&lt;secondary-title&gt;Eastern Journal of Economics and Finance&lt;/secondary-title&gt;&lt;/titles&gt;&lt;pages&gt;1-12&lt;/pages&gt;&lt;volume&gt;3&lt;/volume&gt;&lt;number&gt;1&lt;/number&gt;&lt;dates&gt;&lt;year&gt;2017&lt;/year&gt;&lt;/dates&gt;&lt;urls&gt;&lt;/urls&gt;&lt;electronic-resource-num&gt;https://doi.org/10.20448/809.3.1.1.12&lt;/electronic-resource-num&gt;&lt;/record&gt;&lt;/Cite&gt;&lt;/EndNote&gt;</w:instrText>
      </w:r>
      <w:r w:rsidR="00757003" w:rsidRPr="00757003">
        <w:rPr>
          <w:rFonts w:ascii="Times New Roman" w:hAnsi="Times New Roman" w:cs="Times New Roman"/>
          <w:color w:val="0000CC"/>
          <w:shd w:val="clear" w:color="auto" w:fill="FFFFFF"/>
        </w:rPr>
        <w:fldChar w:fldCharType="separate"/>
      </w:r>
      <w:hyperlink w:anchor="_ENREF_30" w:tooltip="Hassan, 2017 #18" w:history="1">
        <w:r w:rsidR="00AF2A4C">
          <w:rPr>
            <w:rFonts w:ascii="Times New Roman" w:hAnsi="Times New Roman" w:cs="Times New Roman"/>
            <w:noProof/>
            <w:color w:val="0000CC"/>
            <w:shd w:val="clear" w:color="auto" w:fill="FFFFFF"/>
          </w:rPr>
          <w:t>Hassan and Dantama [30</w:t>
        </w:r>
      </w:hyperlink>
      <w:r w:rsidR="00757003">
        <w:rPr>
          <w:rFonts w:ascii="Times New Roman" w:hAnsi="Times New Roman" w:cs="Times New Roman"/>
          <w:noProof/>
          <w:color w:val="0000CC"/>
          <w:shd w:val="clear" w:color="auto" w:fill="FFFFFF"/>
        </w:rPr>
        <w:t>]</w:t>
      </w:r>
      <w:r w:rsidR="00757003" w:rsidRPr="00757003">
        <w:rPr>
          <w:rFonts w:ascii="Times New Roman" w:hAnsi="Times New Roman" w:cs="Times New Roman"/>
          <w:color w:val="0000CC"/>
          <w:shd w:val="clear" w:color="auto" w:fill="FFFFFF"/>
        </w:rPr>
        <w:fldChar w:fldCharType="end"/>
      </w:r>
      <w:r w:rsidR="003F1DAA">
        <w:rPr>
          <w:rFonts w:ascii="Times New Roman" w:hAnsi="Times New Roman" w:cs="Times New Roman"/>
          <w:shd w:val="clear" w:color="auto" w:fill="FFFFFF"/>
        </w:rPr>
        <w:t>;</w:t>
      </w:r>
      <w:r w:rsidRPr="004B7B66">
        <w:rPr>
          <w:rFonts w:ascii="Times New Roman" w:hAnsi="Times New Roman" w:cs="Times New Roman"/>
          <w:shd w:val="clear" w:color="auto" w:fill="FFFFFF"/>
        </w:rPr>
        <w:t xml:space="preserve"> </w:t>
      </w:r>
      <w:r w:rsidR="00757003" w:rsidRPr="00757003">
        <w:rPr>
          <w:rFonts w:ascii="Times New Roman" w:hAnsi="Times New Roman" w:cs="Times New Roman"/>
          <w:color w:val="0000CC"/>
          <w:shd w:val="clear" w:color="auto" w:fill="FFFFFF"/>
        </w:rPr>
        <w:fldChar w:fldCharType="begin"/>
      </w:r>
      <w:r w:rsidR="00AF2A4C">
        <w:rPr>
          <w:rFonts w:ascii="Times New Roman" w:hAnsi="Times New Roman" w:cs="Times New Roman"/>
          <w:color w:val="0000CC"/>
          <w:shd w:val="clear" w:color="auto" w:fill="FFFFFF"/>
        </w:rPr>
        <w:instrText xml:space="preserve"> ADDIN EN.CITE &lt;EndNote&gt;&lt;Cite AuthorYear="1"&gt;&lt;Author&gt;Adeoye&lt;/Author&gt;&lt;Year&gt;2014&lt;/Year&gt;&lt;RecNum&gt;2&lt;/RecNum&gt;&lt;DisplayText&gt;Adeoye and Saibu [5]&lt;/DisplayText&gt;&lt;record&gt;&lt;rec-number&gt;2&lt;/rec-number&gt;&lt;foreign-keys&gt;&lt;key app="EN" db-id="w02dva9072e097ez0eov2pwr9fvdzpzav5te"&gt;2&lt;/key&gt;&lt;/foreign-keys&gt;&lt;ref-type name="Journal Article"&gt;17&lt;/ref-type&gt;&lt;contributors&gt;&lt;authors&gt;&lt;author&gt;Adeoye, B. W.&lt;/author&gt;&lt;author&gt;Saibu, O. M.&lt;/author&gt;&lt;/authors&gt;&lt;/contributors&gt;&lt;titles&gt;&lt;title&gt;Monetary policy shocks and exchange rate volatility in Nigeria&lt;/title&gt;&lt;secondary-title&gt;Asian Economic and Financial Review&lt;/secondary-title&gt;&lt;/titles&gt;&lt;pages&gt;544-562&lt;/pages&gt;&lt;volume&gt;4&lt;/volume&gt;&lt;number&gt;4&lt;/number&gt;&lt;dates&gt;&lt;year&gt;2014&lt;/year&gt;&lt;/dates&gt;&lt;urls&gt;&lt;/urls&gt;&lt;/record&gt;&lt;/Cite&gt;&lt;/EndNote&gt;</w:instrText>
      </w:r>
      <w:r w:rsidR="00757003" w:rsidRPr="00757003">
        <w:rPr>
          <w:rFonts w:ascii="Times New Roman" w:hAnsi="Times New Roman" w:cs="Times New Roman"/>
          <w:color w:val="0000CC"/>
          <w:shd w:val="clear" w:color="auto" w:fill="FFFFFF"/>
        </w:rPr>
        <w:fldChar w:fldCharType="separate"/>
      </w:r>
      <w:hyperlink w:anchor="_ENREF_5" w:tooltip="Adeoye, 2014 #2" w:history="1">
        <w:r w:rsidR="00AF2A4C">
          <w:rPr>
            <w:rFonts w:ascii="Times New Roman" w:hAnsi="Times New Roman" w:cs="Times New Roman"/>
            <w:noProof/>
            <w:color w:val="0000CC"/>
            <w:shd w:val="clear" w:color="auto" w:fill="FFFFFF"/>
          </w:rPr>
          <w:t>Adeoye and Saibu [5</w:t>
        </w:r>
      </w:hyperlink>
      <w:r w:rsidR="00757003">
        <w:rPr>
          <w:rFonts w:ascii="Times New Roman" w:hAnsi="Times New Roman" w:cs="Times New Roman"/>
          <w:noProof/>
          <w:color w:val="0000CC"/>
          <w:shd w:val="clear" w:color="auto" w:fill="FFFFFF"/>
        </w:rPr>
        <w:t>]</w:t>
      </w:r>
      <w:r w:rsidR="00757003" w:rsidRPr="00757003">
        <w:rPr>
          <w:rFonts w:ascii="Times New Roman" w:hAnsi="Times New Roman" w:cs="Times New Roman"/>
          <w:color w:val="0000CC"/>
          <w:shd w:val="clear" w:color="auto" w:fill="FFFFFF"/>
        </w:rPr>
        <w:fldChar w:fldCharType="end"/>
      </w:r>
      <w:r w:rsidR="003F1DAA">
        <w:rPr>
          <w:rFonts w:ascii="Times New Roman" w:hAnsi="Times New Roman" w:cs="Times New Roman"/>
          <w:shd w:val="clear" w:color="auto" w:fill="FFFFFF"/>
        </w:rPr>
        <w:t>;</w:t>
      </w:r>
      <w:r w:rsidRPr="004B7B66">
        <w:rPr>
          <w:rFonts w:ascii="Times New Roman" w:hAnsi="Times New Roman" w:cs="Times New Roman"/>
          <w:shd w:val="clear" w:color="auto" w:fill="FFFFFF"/>
        </w:rPr>
        <w:t xml:space="preserve"> </w:t>
      </w:r>
      <w:r w:rsidR="00757003" w:rsidRPr="00757003">
        <w:rPr>
          <w:rFonts w:ascii="Times New Roman" w:hAnsi="Times New Roman" w:cs="Times New Roman"/>
          <w:color w:val="0000CC"/>
          <w:shd w:val="clear" w:color="auto" w:fill="FFFFFF"/>
        </w:rPr>
        <w:fldChar w:fldCharType="begin"/>
      </w:r>
      <w:r w:rsidR="00AF2A4C">
        <w:rPr>
          <w:rFonts w:ascii="Times New Roman" w:hAnsi="Times New Roman" w:cs="Times New Roman"/>
          <w:color w:val="0000CC"/>
          <w:shd w:val="clear" w:color="auto" w:fill="FFFFFF"/>
        </w:rPr>
        <w:instrText xml:space="preserve"> ADDIN EN.CITE &lt;EndNote&gt;&lt;Cite AuthorYear="1"&gt;&lt;Author&gt;Saha&lt;/Author&gt;&lt;Year&gt;2014&lt;/Year&gt;&lt;RecNum&gt;32&lt;/RecNum&gt;&lt;DisplayText&gt;Saha and Biswas [28]&lt;/DisplayText&gt;&lt;record&gt;&lt;rec-number&gt;32&lt;/rec-number&gt;&lt;foreign-keys&gt;&lt;key app="EN" db-id="w02dva9072e097ez0eov2pwr9fvdzpzav5te"&gt;32&lt;/key&gt;&lt;/foreign-keys&gt;&lt;ref-type name="Journal Article"&gt;17&lt;/ref-type&gt;&lt;contributors&gt;&lt;authors&gt;&lt;author&gt;Saha, A. K.&lt;/author&gt;&lt;author&gt;Biswas, S.&lt;/author&gt;&lt;/authors&gt;&lt;/contributors&gt;&lt;titles&gt;&lt;title&gt;Macroeconomic fundamentals and exchange rate volatility during the floating exchange rate regime in India&lt;/title&gt;&lt;secondary-title&gt;International Journal of Economics &amp;amp; Management&lt;/secondary-title&gt;&lt;/titles&gt;&lt;pages&gt;10-39&lt;/pages&gt;&lt;volume&gt;8&lt;/volume&gt;&lt;number&gt;1&lt;/number&gt;&lt;dates&gt;&lt;year&gt;2014&lt;/year&gt;&lt;/dates&gt;&lt;isbn&gt;1823-836X&lt;/isbn&gt;&lt;urls&gt;&lt;/urls&gt;&lt;/record&gt;&lt;/Cite&gt;&lt;/EndNote&gt;</w:instrText>
      </w:r>
      <w:r w:rsidR="00757003" w:rsidRPr="00757003">
        <w:rPr>
          <w:rFonts w:ascii="Times New Roman" w:hAnsi="Times New Roman" w:cs="Times New Roman"/>
          <w:color w:val="0000CC"/>
          <w:shd w:val="clear" w:color="auto" w:fill="FFFFFF"/>
        </w:rPr>
        <w:fldChar w:fldCharType="separate"/>
      </w:r>
      <w:hyperlink w:anchor="_ENREF_28" w:tooltip="Saha, 2014 #32" w:history="1">
        <w:r w:rsidR="00AF2A4C">
          <w:rPr>
            <w:rFonts w:ascii="Times New Roman" w:hAnsi="Times New Roman" w:cs="Times New Roman"/>
            <w:noProof/>
            <w:color w:val="0000CC"/>
            <w:shd w:val="clear" w:color="auto" w:fill="FFFFFF"/>
          </w:rPr>
          <w:t>Saha and Biswas [28</w:t>
        </w:r>
      </w:hyperlink>
      <w:r w:rsidR="00757003">
        <w:rPr>
          <w:rFonts w:ascii="Times New Roman" w:hAnsi="Times New Roman" w:cs="Times New Roman"/>
          <w:noProof/>
          <w:color w:val="0000CC"/>
          <w:shd w:val="clear" w:color="auto" w:fill="FFFFFF"/>
        </w:rPr>
        <w:t>]</w:t>
      </w:r>
      <w:r w:rsidR="00757003" w:rsidRPr="00757003">
        <w:rPr>
          <w:rFonts w:ascii="Times New Roman" w:hAnsi="Times New Roman" w:cs="Times New Roman"/>
          <w:color w:val="0000CC"/>
          <w:shd w:val="clear" w:color="auto" w:fill="FFFFFF"/>
        </w:rPr>
        <w:fldChar w:fldCharType="end"/>
      </w:r>
      <w:r w:rsidRPr="004B7B66">
        <w:rPr>
          <w:rFonts w:ascii="Times New Roman" w:hAnsi="Times New Roman" w:cs="Times New Roman"/>
          <w:shd w:val="clear" w:color="auto" w:fill="FFFFFF"/>
        </w:rPr>
        <w:t xml:space="preserve"> as well as </w:t>
      </w:r>
      <w:r w:rsidR="00757003" w:rsidRPr="00757003">
        <w:rPr>
          <w:rFonts w:ascii="Times New Roman" w:hAnsi="Times New Roman" w:cs="Times New Roman"/>
          <w:color w:val="0000CC"/>
          <w:shd w:val="clear" w:color="auto" w:fill="FFFFFF"/>
        </w:rPr>
        <w:fldChar w:fldCharType="begin"/>
      </w:r>
      <w:r w:rsidR="00AF2A4C">
        <w:rPr>
          <w:rFonts w:ascii="Times New Roman" w:hAnsi="Times New Roman" w:cs="Times New Roman"/>
          <w:color w:val="0000CC"/>
          <w:shd w:val="clear" w:color="auto" w:fill="FFFFFF"/>
        </w:rPr>
        <w:instrText xml:space="preserve"> ADDIN EN.CITE &lt;EndNote&gt;&lt;Cite AuthorYear="1"&gt;&lt;Author&gt;Mirchandani&lt;/Author&gt;&lt;Year&gt;2013&lt;/Year&gt;&lt;RecNum&gt;27&lt;/RecNum&gt;&lt;DisplayText&gt;Mirchandani [29]&lt;/DisplayText&gt;&lt;record&gt;&lt;rec-number&gt;27&lt;/rec-number&gt;&lt;foreign-keys&gt;&lt;key app="EN" db-id="w02dva9072e097ez0eov2pwr9fvdzpzav5te"&gt;27&lt;/key&gt;&lt;/foreign-keys&gt;&lt;ref-type name="Journal Article"&gt;17&lt;/ref-type&gt;&lt;contributors&gt;&lt;authors&gt;&lt;author&gt;Mirchandani, Anita&lt;/author&gt;&lt;/authors&gt;&lt;/contributors&gt;&lt;titles&gt;&lt;title&gt;Analysis of macroeconomic determinants of exchange rate volatility in India&lt;/title&gt;&lt;secondary-title&gt;International Journal of Economics and Financial Issues&lt;/secondary-title&gt;&lt;/titles&gt;&lt;pages&gt;172-179&lt;/pages&gt;&lt;volume&gt;3&lt;/volume&gt;&lt;number&gt;1&lt;/number&gt;&lt;dates&gt;&lt;year&gt;2013&lt;/year&gt;&lt;/dates&gt;&lt;urls&gt;&lt;/urls&gt;&lt;/record&gt;&lt;/Cite&gt;&lt;/EndNote&gt;</w:instrText>
      </w:r>
      <w:r w:rsidR="00757003" w:rsidRPr="00757003">
        <w:rPr>
          <w:rFonts w:ascii="Times New Roman" w:hAnsi="Times New Roman" w:cs="Times New Roman"/>
          <w:color w:val="0000CC"/>
          <w:shd w:val="clear" w:color="auto" w:fill="FFFFFF"/>
        </w:rPr>
        <w:fldChar w:fldCharType="separate"/>
      </w:r>
      <w:hyperlink w:anchor="_ENREF_29" w:tooltip="Mirchandani, 2013 #27" w:history="1">
        <w:r w:rsidR="00AF2A4C">
          <w:rPr>
            <w:rFonts w:ascii="Times New Roman" w:hAnsi="Times New Roman" w:cs="Times New Roman"/>
            <w:noProof/>
            <w:color w:val="0000CC"/>
            <w:shd w:val="clear" w:color="auto" w:fill="FFFFFF"/>
          </w:rPr>
          <w:t>Mirchandani [29</w:t>
        </w:r>
      </w:hyperlink>
      <w:r w:rsidR="00757003">
        <w:rPr>
          <w:rFonts w:ascii="Times New Roman" w:hAnsi="Times New Roman" w:cs="Times New Roman"/>
          <w:noProof/>
          <w:color w:val="0000CC"/>
          <w:shd w:val="clear" w:color="auto" w:fill="FFFFFF"/>
        </w:rPr>
        <w:t>]</w:t>
      </w:r>
      <w:r w:rsidR="00757003" w:rsidRPr="00757003">
        <w:rPr>
          <w:rFonts w:ascii="Times New Roman" w:hAnsi="Times New Roman" w:cs="Times New Roman"/>
          <w:color w:val="0000CC"/>
          <w:shd w:val="clear" w:color="auto" w:fill="FFFFFF"/>
        </w:rPr>
        <w:fldChar w:fldCharType="end"/>
      </w:r>
      <w:r w:rsidRPr="004B7B66">
        <w:rPr>
          <w:rFonts w:ascii="Times New Roman" w:hAnsi="Times New Roman" w:cs="Times New Roman"/>
          <w:shd w:val="clear" w:color="auto" w:fill="FFFFFF"/>
        </w:rPr>
        <w:t xml:space="preserve"> which was measured as the difference between the actual output (y) and the potential output (y*). In this study, </w:t>
      </w:r>
      <w:r w:rsidR="00887493">
        <w:rPr>
          <w:rFonts w:ascii="Times New Roman" w:hAnsi="Times New Roman" w:cs="Times New Roman"/>
          <w:shd w:val="clear" w:color="auto" w:fill="FFFFFF"/>
        </w:rPr>
        <w:t>the</w:t>
      </w:r>
      <w:r w:rsidRPr="004B7B66">
        <w:rPr>
          <w:rFonts w:ascii="Times New Roman" w:hAnsi="Times New Roman" w:cs="Times New Roman"/>
          <w:shd w:val="clear" w:color="auto" w:fill="FFFFFF"/>
        </w:rPr>
        <w:t xml:space="preserve"> </w:t>
      </w:r>
      <w:proofErr w:type="spellStart"/>
      <w:r w:rsidRPr="004B7B66">
        <w:rPr>
          <w:rFonts w:ascii="Times New Roman" w:hAnsi="Times New Roman" w:cs="Times New Roman"/>
          <w:shd w:val="clear" w:color="auto" w:fill="FFFFFF"/>
        </w:rPr>
        <w:t>Hodrick</w:t>
      </w:r>
      <w:proofErr w:type="spellEnd"/>
      <w:r w:rsidRPr="004B7B66">
        <w:rPr>
          <w:rFonts w:ascii="Times New Roman" w:hAnsi="Times New Roman" w:cs="Times New Roman"/>
          <w:shd w:val="clear" w:color="auto" w:fill="FFFFFF"/>
        </w:rPr>
        <w:t xml:space="preserve">-Prescott filter was used to compute the potential output. The HP filter is the most accepted in the empirical macroeconomics literature. Moreover, </w:t>
      </w:r>
      <w:r w:rsidR="00757003" w:rsidRPr="00757003">
        <w:rPr>
          <w:rFonts w:ascii="Times New Roman" w:hAnsi="Times New Roman" w:cs="Times New Roman"/>
          <w:color w:val="0000CC"/>
          <w:shd w:val="clear" w:color="auto" w:fill="FFFFFF"/>
        </w:rPr>
        <w:fldChar w:fldCharType="begin"/>
      </w:r>
      <w:r w:rsidR="00AF2A4C">
        <w:rPr>
          <w:rFonts w:ascii="Times New Roman" w:hAnsi="Times New Roman" w:cs="Times New Roman"/>
          <w:color w:val="0000CC"/>
          <w:shd w:val="clear" w:color="auto" w:fill="FFFFFF"/>
        </w:rPr>
        <w:instrText xml:space="preserve"> ADDIN EN.CITE &lt;EndNote&gt;&lt;Cite AuthorYear="1"&gt;&lt;Author&gt;Adeoye&lt;/Author&gt;&lt;Year&gt;2014&lt;/Year&gt;&lt;RecNum&gt;2&lt;/RecNum&gt;&lt;DisplayText&gt;Adeoye and Saibu [5]&lt;/DisplayText&gt;&lt;record&gt;&lt;rec-number&gt;2&lt;/rec-number&gt;&lt;foreign-keys&gt;&lt;key app="EN" db-id="w02dva9072e097ez0eov2pwr9fvdzpzav5te"&gt;2&lt;/key&gt;&lt;/foreign-keys&gt;&lt;ref-type name="Journal Article"&gt;17&lt;/ref-type&gt;&lt;contributors&gt;&lt;authors&gt;&lt;author&gt;Adeoye, B. W.&lt;/author&gt;&lt;author&gt;Saibu, O. M.&lt;/author&gt;&lt;/authors&gt;&lt;/contributors&gt;&lt;titles&gt;&lt;title&gt;Monetary policy shocks and exchange rate volatility in Nigeria&lt;/title&gt;&lt;secondary-title&gt;Asian Economic and Financial Review&lt;/secondary-title&gt;&lt;/titles&gt;&lt;pages&gt;544-562&lt;/pages&gt;&lt;volume&gt;4&lt;/volume&gt;&lt;number&gt;4&lt;/number&gt;&lt;dates&gt;&lt;year&gt;2014&lt;/year&gt;&lt;/dates&gt;&lt;urls&gt;&lt;/urls&gt;&lt;/record&gt;&lt;/Cite&gt;&lt;/EndNote&gt;</w:instrText>
      </w:r>
      <w:r w:rsidR="00757003" w:rsidRPr="00757003">
        <w:rPr>
          <w:rFonts w:ascii="Times New Roman" w:hAnsi="Times New Roman" w:cs="Times New Roman"/>
          <w:color w:val="0000CC"/>
          <w:shd w:val="clear" w:color="auto" w:fill="FFFFFF"/>
        </w:rPr>
        <w:fldChar w:fldCharType="separate"/>
      </w:r>
      <w:hyperlink w:anchor="_ENREF_5" w:tooltip="Adeoye, 2014 #2" w:history="1">
        <w:r w:rsidR="00AF2A4C">
          <w:rPr>
            <w:rFonts w:ascii="Times New Roman" w:hAnsi="Times New Roman" w:cs="Times New Roman"/>
            <w:noProof/>
            <w:color w:val="0000CC"/>
            <w:shd w:val="clear" w:color="auto" w:fill="FFFFFF"/>
          </w:rPr>
          <w:t>Adeoye and Saibu [5</w:t>
        </w:r>
      </w:hyperlink>
      <w:r w:rsidR="00757003">
        <w:rPr>
          <w:rFonts w:ascii="Times New Roman" w:hAnsi="Times New Roman" w:cs="Times New Roman"/>
          <w:noProof/>
          <w:color w:val="0000CC"/>
          <w:shd w:val="clear" w:color="auto" w:fill="FFFFFF"/>
        </w:rPr>
        <w:t>]</w:t>
      </w:r>
      <w:r w:rsidR="00757003" w:rsidRPr="00757003">
        <w:rPr>
          <w:rFonts w:ascii="Times New Roman" w:hAnsi="Times New Roman" w:cs="Times New Roman"/>
          <w:color w:val="0000CC"/>
          <w:shd w:val="clear" w:color="auto" w:fill="FFFFFF"/>
        </w:rPr>
        <w:fldChar w:fldCharType="end"/>
      </w:r>
      <w:r w:rsidR="00757003">
        <w:rPr>
          <w:rFonts w:ascii="Times New Roman" w:hAnsi="Times New Roman" w:cs="Times New Roman"/>
          <w:shd w:val="clear" w:color="auto" w:fill="FFFFFF"/>
        </w:rPr>
        <w:t>;</w:t>
      </w:r>
      <w:r w:rsidRPr="004B7B66">
        <w:rPr>
          <w:rFonts w:ascii="Times New Roman" w:hAnsi="Times New Roman" w:cs="Times New Roman"/>
          <w:shd w:val="clear" w:color="auto" w:fill="FFFFFF"/>
        </w:rPr>
        <w:t xml:space="preserve"> </w:t>
      </w:r>
      <w:r w:rsidR="00757003" w:rsidRPr="00757003">
        <w:rPr>
          <w:rFonts w:ascii="Times New Roman" w:hAnsi="Times New Roman" w:cs="Times New Roman"/>
          <w:color w:val="0000CC"/>
          <w:shd w:val="clear" w:color="auto" w:fill="FFFFFF"/>
        </w:rPr>
        <w:fldChar w:fldCharType="begin"/>
      </w:r>
      <w:r w:rsidR="00AF2A4C">
        <w:rPr>
          <w:rFonts w:ascii="Times New Roman" w:hAnsi="Times New Roman" w:cs="Times New Roman"/>
          <w:color w:val="0000CC"/>
          <w:shd w:val="clear" w:color="auto" w:fill="FFFFFF"/>
        </w:rPr>
        <w:instrText xml:space="preserve"> ADDIN EN.CITE &lt;EndNote&gt;&lt;Cite AuthorYear="1"&gt;&lt;Author&gt;Hassan&lt;/Author&gt;&lt;Year&gt;2017&lt;/Year&gt;&lt;RecNum&gt;18&lt;/RecNum&gt;&lt;DisplayText&gt;Hassan and Dantama [30]&lt;/DisplayText&gt;&lt;record&gt;&lt;rec-number&gt;18&lt;/rec-number&gt;&lt;foreign-keys&gt;&lt;key app="EN" db-id="w02dva9072e097ez0eov2pwr9fvdzpzav5te"&gt;18&lt;/key&gt;&lt;/foreign-keys&gt;&lt;ref-type name="Journal Article"&gt;17&lt;/ref-type&gt;&lt;contributors&gt;&lt;authors&gt;&lt;author&gt;Hassan, Adamu&lt;/author&gt;&lt;author&gt;Dantama, Yusuf Umar&lt;/author&gt;&lt;/authors&gt;&lt;/contributors&gt;&lt;titles&gt;&lt;title&gt;Determinants of exchange rate volatility: New estimates from Nigeria&lt;/title&gt;&lt;secondary-title&gt;Eastern Journal of Economics and Finance&lt;/secondary-title&gt;&lt;/titles&gt;&lt;pages&gt;1-12&lt;/pages&gt;&lt;volume&gt;3&lt;/volume&gt;&lt;number&gt;1&lt;/number&gt;&lt;dates&gt;&lt;year&gt;2017&lt;/year&gt;&lt;/dates&gt;&lt;urls&gt;&lt;/urls&gt;&lt;electronic-resource-num&gt;https://doi.org/10.20448/809.3.1.1.12&lt;/electronic-resource-num&gt;&lt;/record&gt;&lt;/Cite&gt;&lt;/EndNote&gt;</w:instrText>
      </w:r>
      <w:r w:rsidR="00757003" w:rsidRPr="00757003">
        <w:rPr>
          <w:rFonts w:ascii="Times New Roman" w:hAnsi="Times New Roman" w:cs="Times New Roman"/>
          <w:color w:val="0000CC"/>
          <w:shd w:val="clear" w:color="auto" w:fill="FFFFFF"/>
        </w:rPr>
        <w:fldChar w:fldCharType="separate"/>
      </w:r>
      <w:hyperlink w:anchor="_ENREF_30" w:tooltip="Hassan, 2017 #18" w:history="1">
        <w:r w:rsidR="00AF2A4C">
          <w:rPr>
            <w:rFonts w:ascii="Times New Roman" w:hAnsi="Times New Roman" w:cs="Times New Roman"/>
            <w:noProof/>
            <w:color w:val="0000CC"/>
            <w:shd w:val="clear" w:color="auto" w:fill="FFFFFF"/>
          </w:rPr>
          <w:t>Hassan and Dantama [30</w:t>
        </w:r>
      </w:hyperlink>
      <w:r w:rsidR="00757003">
        <w:rPr>
          <w:rFonts w:ascii="Times New Roman" w:hAnsi="Times New Roman" w:cs="Times New Roman"/>
          <w:noProof/>
          <w:color w:val="0000CC"/>
          <w:shd w:val="clear" w:color="auto" w:fill="FFFFFF"/>
        </w:rPr>
        <w:t>]</w:t>
      </w:r>
      <w:r w:rsidR="00757003" w:rsidRPr="00757003">
        <w:rPr>
          <w:rFonts w:ascii="Times New Roman" w:hAnsi="Times New Roman" w:cs="Times New Roman"/>
          <w:color w:val="0000CC"/>
          <w:shd w:val="clear" w:color="auto" w:fill="FFFFFF"/>
        </w:rPr>
        <w:fldChar w:fldCharType="end"/>
      </w:r>
      <w:r w:rsidRPr="004B7B66">
        <w:rPr>
          <w:rFonts w:ascii="Times New Roman" w:hAnsi="Times New Roman" w:cs="Times New Roman"/>
          <w:shd w:val="clear" w:color="auto" w:fill="FFFFFF"/>
        </w:rPr>
        <w:t xml:space="preserve"> and </w:t>
      </w:r>
      <w:r w:rsidR="00757003" w:rsidRPr="00757003">
        <w:rPr>
          <w:rFonts w:ascii="Times New Roman" w:hAnsi="Times New Roman" w:cs="Times New Roman"/>
          <w:color w:val="0000CC"/>
          <w:shd w:val="clear" w:color="auto" w:fill="FFFFFF"/>
        </w:rPr>
        <w:fldChar w:fldCharType="begin"/>
      </w:r>
      <w:r w:rsidR="00AF2A4C">
        <w:rPr>
          <w:rFonts w:ascii="Times New Roman" w:hAnsi="Times New Roman" w:cs="Times New Roman"/>
          <w:color w:val="0000CC"/>
          <w:shd w:val="clear" w:color="auto" w:fill="FFFFFF"/>
        </w:rPr>
        <w:instrText xml:space="preserve"> ADDIN EN.CITE &lt;EndNote&gt;&lt;Cite AuthorYear="1"&gt;&lt;Author&gt;Kilicarslan&lt;/Author&gt;&lt;Year&gt;2018&lt;/Year&gt;&lt;RecNum&gt;23&lt;/RecNum&gt;&lt;DisplayText&gt;Kilicarslan [12]&lt;/DisplayText&gt;&lt;record&gt;&lt;rec-number&gt;23&lt;/rec-number&gt;&lt;foreign-keys&gt;&lt;key app="EN" db-id="w02dva9072e097ez0eov2pwr9fvdzpzav5te"&gt;23&lt;/key&gt;&lt;/foreign-keys&gt;&lt;ref-type name="Journal Article"&gt;17&lt;/ref-type&gt;&lt;contributors&gt;&lt;authors&gt;&lt;author&gt;Kilicarslan, Zerrin&lt;/author&gt;&lt;/authors&gt;&lt;/contributors&gt;&lt;titles&gt;&lt;title&gt;Determinants of exchange rate volatility: Empirical evidence for Turkey&lt;/title&gt;&lt;secondary-title&gt;Journal of Economics Finance and Accounting&lt;/secondary-title&gt;&lt;/titles&gt;&lt;pages&gt;204-213&lt;/pages&gt;&lt;volume&gt;5&lt;/volume&gt;&lt;number&gt;2&lt;/number&gt;&lt;dates&gt;&lt;year&gt;2018&lt;/year&gt;&lt;/dates&gt;&lt;urls&gt;&lt;/urls&gt;&lt;electronic-resource-num&gt;https://doi.org/10.17261/pressacademia.2018.825&lt;/electronic-resource-num&gt;&lt;/record&gt;&lt;/Cite&gt;&lt;/EndNote&gt;</w:instrText>
      </w:r>
      <w:r w:rsidR="00757003" w:rsidRPr="00757003">
        <w:rPr>
          <w:rFonts w:ascii="Times New Roman" w:hAnsi="Times New Roman" w:cs="Times New Roman"/>
          <w:color w:val="0000CC"/>
          <w:shd w:val="clear" w:color="auto" w:fill="FFFFFF"/>
        </w:rPr>
        <w:fldChar w:fldCharType="separate"/>
      </w:r>
      <w:hyperlink w:anchor="_ENREF_12" w:tooltip="Kilicarslan, 2018 #23" w:history="1">
        <w:r w:rsidR="00AF2A4C">
          <w:rPr>
            <w:rFonts w:ascii="Times New Roman" w:hAnsi="Times New Roman" w:cs="Times New Roman"/>
            <w:noProof/>
            <w:color w:val="0000CC"/>
            <w:shd w:val="clear" w:color="auto" w:fill="FFFFFF"/>
          </w:rPr>
          <w:t>Kilicarslan [12</w:t>
        </w:r>
      </w:hyperlink>
      <w:r w:rsidR="00757003">
        <w:rPr>
          <w:rFonts w:ascii="Times New Roman" w:hAnsi="Times New Roman" w:cs="Times New Roman"/>
          <w:noProof/>
          <w:color w:val="0000CC"/>
          <w:shd w:val="clear" w:color="auto" w:fill="FFFFFF"/>
        </w:rPr>
        <w:t>]</w:t>
      </w:r>
      <w:r w:rsidR="00757003" w:rsidRPr="00757003">
        <w:rPr>
          <w:rFonts w:ascii="Times New Roman" w:hAnsi="Times New Roman" w:cs="Times New Roman"/>
          <w:color w:val="0000CC"/>
          <w:shd w:val="clear" w:color="auto" w:fill="FFFFFF"/>
        </w:rPr>
        <w:fldChar w:fldCharType="end"/>
      </w:r>
      <w:r w:rsidRPr="004B7B66">
        <w:rPr>
          <w:rFonts w:ascii="Times New Roman" w:hAnsi="Times New Roman" w:cs="Times New Roman"/>
          <w:shd w:val="clear" w:color="auto" w:fill="FFFFFF"/>
        </w:rPr>
        <w:t xml:space="preserve"> showed the positive influence of money per GDP on the domestic currency volatility due to the increasing demand for credit. Therefore, credit gap was also added as an explanatory variable </w:t>
      </w:r>
      <w:r w:rsidR="00757003" w:rsidRPr="00757003">
        <w:rPr>
          <w:rFonts w:ascii="Times New Roman" w:hAnsi="Times New Roman" w:cs="Times New Roman"/>
          <w:color w:val="0000CC"/>
          <w:shd w:val="clear" w:color="auto" w:fill="FFFFFF"/>
        </w:rPr>
        <w:fldChar w:fldCharType="begin"/>
      </w:r>
      <w:r w:rsidR="00AF2A4C">
        <w:rPr>
          <w:rFonts w:ascii="Times New Roman" w:hAnsi="Times New Roman" w:cs="Times New Roman"/>
          <w:color w:val="0000CC"/>
          <w:shd w:val="clear" w:color="auto" w:fill="FFFFFF"/>
        </w:rPr>
        <w:instrText xml:space="preserve"> ADDIN EN.CITE &lt;EndNote&gt;&lt;Cite&gt;&lt;Author&gt;Mirchandani&lt;/Author&gt;&lt;Year&gt;2013&lt;/Year&gt;&lt;RecNum&gt;27&lt;/RecNum&gt;&lt;DisplayText&gt;[29]&lt;/DisplayText&gt;&lt;record&gt;&lt;rec-number&gt;27&lt;/rec-number&gt;&lt;foreign-keys&gt;&lt;key app="EN" db-id="w02dva9072e097ez0eov2pwr9fvdzpzav5te"&gt;27&lt;/key&gt;&lt;/foreign-keys&gt;&lt;ref-type name="Journal Article"&gt;17&lt;/ref-type&gt;&lt;contributors&gt;&lt;authors&gt;&lt;author&gt;Mirchandani, Anita&lt;/author&gt;&lt;/authors&gt;&lt;/contributors&gt;&lt;titles&gt;&lt;title&gt;Analysis of macroeconomic determinants of exchange rate volatility in India&lt;/title&gt;&lt;secondary-title&gt;International Journal of Economics and Financial Issues&lt;/secondary-title&gt;&lt;/titles&gt;&lt;pages&gt;172-179&lt;/pages&gt;&lt;volume&gt;3&lt;/volume&gt;&lt;number&gt;1&lt;/number&gt;&lt;dates&gt;&lt;year&gt;2013&lt;/year&gt;&lt;/dates&gt;&lt;urls&gt;&lt;/urls&gt;&lt;/record&gt;&lt;/Cite&gt;&lt;/EndNote&gt;</w:instrText>
      </w:r>
      <w:r w:rsidR="00757003" w:rsidRPr="00757003">
        <w:rPr>
          <w:rFonts w:ascii="Times New Roman" w:hAnsi="Times New Roman" w:cs="Times New Roman"/>
          <w:color w:val="0000CC"/>
          <w:shd w:val="clear" w:color="auto" w:fill="FFFFFF"/>
        </w:rPr>
        <w:fldChar w:fldCharType="separate"/>
      </w:r>
      <w:r w:rsidR="00757003" w:rsidRPr="00757003">
        <w:rPr>
          <w:rFonts w:ascii="Times New Roman" w:hAnsi="Times New Roman" w:cs="Times New Roman"/>
          <w:noProof/>
          <w:color w:val="0000CC"/>
          <w:shd w:val="clear" w:color="auto" w:fill="FFFFFF"/>
        </w:rPr>
        <w:t>[</w:t>
      </w:r>
      <w:hyperlink w:anchor="_ENREF_29" w:tooltip="Mirchandani, 2013 #27" w:history="1">
        <w:r w:rsidR="00AF2A4C" w:rsidRPr="00757003">
          <w:rPr>
            <w:rFonts w:ascii="Times New Roman" w:hAnsi="Times New Roman" w:cs="Times New Roman"/>
            <w:noProof/>
            <w:color w:val="0000CC"/>
            <w:shd w:val="clear" w:color="auto" w:fill="FFFFFF"/>
          </w:rPr>
          <w:t>29</w:t>
        </w:r>
      </w:hyperlink>
      <w:r w:rsidR="00757003" w:rsidRPr="00757003">
        <w:rPr>
          <w:rFonts w:ascii="Times New Roman" w:hAnsi="Times New Roman" w:cs="Times New Roman"/>
          <w:noProof/>
          <w:color w:val="0000CC"/>
          <w:shd w:val="clear" w:color="auto" w:fill="FFFFFF"/>
        </w:rPr>
        <w:t>]</w:t>
      </w:r>
      <w:r w:rsidR="00757003" w:rsidRPr="00757003">
        <w:rPr>
          <w:rFonts w:ascii="Times New Roman" w:hAnsi="Times New Roman" w:cs="Times New Roman"/>
          <w:color w:val="0000CC"/>
          <w:shd w:val="clear" w:color="auto" w:fill="FFFFFF"/>
        </w:rPr>
        <w:fldChar w:fldCharType="end"/>
      </w:r>
      <w:r w:rsidRPr="004B7B66">
        <w:rPr>
          <w:rFonts w:ascii="Times New Roman" w:hAnsi="Times New Roman" w:cs="Times New Roman"/>
          <w:shd w:val="clear" w:color="auto" w:fill="FFFFFF"/>
        </w:rPr>
        <w:t xml:space="preserve"> and defined as the difference between credit to GDP and its long-term trend.</w:t>
      </w:r>
    </w:p>
    <w:p w14:paraId="0DBFBFB9" w14:textId="77777777" w:rsidR="000854E4" w:rsidRPr="004B7B66" w:rsidRDefault="000854E4" w:rsidP="004B7B6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284"/>
        <w:jc w:val="both"/>
        <w:rPr>
          <w:rFonts w:ascii="Times New Roman" w:hAnsi="Times New Roman" w:cs="Times New Roman"/>
          <w:shd w:val="clear" w:color="auto" w:fill="FFFFFF"/>
        </w:rPr>
      </w:pPr>
    </w:p>
    <w:p w14:paraId="102ADD3F" w14:textId="3CB6289C" w:rsidR="000854E4" w:rsidRPr="009A132C" w:rsidRDefault="000854E4" w:rsidP="004B7B6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bCs/>
          <w:i/>
          <w:iCs/>
          <w:shd w:val="clear" w:color="auto" w:fill="FFFFFF"/>
        </w:rPr>
      </w:pPr>
      <w:r w:rsidRPr="009A132C">
        <w:rPr>
          <w:rFonts w:ascii="Times New Roman" w:hAnsi="Times New Roman" w:cs="Times New Roman"/>
          <w:bCs/>
          <w:i/>
          <w:iCs/>
          <w:shd w:val="clear" w:color="auto" w:fill="FFFFFF"/>
        </w:rPr>
        <w:t>3.2</w:t>
      </w:r>
      <w:r w:rsidR="009A132C">
        <w:rPr>
          <w:rFonts w:ascii="Times New Roman" w:hAnsi="Times New Roman" w:cs="Times New Roman"/>
          <w:bCs/>
          <w:i/>
          <w:iCs/>
          <w:shd w:val="clear" w:color="auto" w:fill="FFFFFF"/>
        </w:rPr>
        <w:t>.</w:t>
      </w:r>
      <w:r w:rsidRPr="009A132C">
        <w:rPr>
          <w:rFonts w:ascii="Times New Roman" w:hAnsi="Times New Roman" w:cs="Times New Roman"/>
          <w:bCs/>
          <w:i/>
          <w:iCs/>
          <w:shd w:val="clear" w:color="auto" w:fill="FFFFFF"/>
        </w:rPr>
        <w:t xml:space="preserve"> Methodology</w:t>
      </w:r>
    </w:p>
    <w:p w14:paraId="577686D6" w14:textId="77777777" w:rsidR="000854E4" w:rsidRPr="004B7B66" w:rsidRDefault="000854E4" w:rsidP="004B7B66">
      <w:pPr>
        <w:spacing w:after="0" w:line="240" w:lineRule="auto"/>
        <w:ind w:firstLine="284"/>
        <w:jc w:val="both"/>
        <w:rPr>
          <w:rFonts w:ascii="Times New Roman" w:hAnsi="Times New Roman" w:cs="Times New Roman"/>
          <w:sz w:val="20"/>
          <w:szCs w:val="20"/>
        </w:rPr>
      </w:pPr>
      <w:r w:rsidRPr="004B7B66">
        <w:rPr>
          <w:rFonts w:ascii="Times New Roman" w:hAnsi="Times New Roman" w:cs="Times New Roman"/>
          <w:sz w:val="20"/>
          <w:szCs w:val="20"/>
        </w:rPr>
        <w:t xml:space="preserve">The exchange rate return was calculated as the percentage change in the daily Indonesia Rupiah against the US dollar, Singaporean Dollar, Australia Dollar, Great British </w:t>
      </w:r>
      <w:bookmarkStart w:id="1" w:name="PoundE1"/>
      <w:r w:rsidRPr="004B7B66">
        <w:rPr>
          <w:rFonts w:ascii="Times New Roman" w:hAnsi="Times New Roman" w:cs="Times New Roman"/>
          <w:sz w:val="20"/>
          <w:szCs w:val="20"/>
        </w:rPr>
        <w:t>Pound</w:t>
      </w:r>
      <w:bookmarkEnd w:id="1"/>
      <w:r w:rsidRPr="004B7B66">
        <w:rPr>
          <w:rFonts w:ascii="Times New Roman" w:hAnsi="Times New Roman" w:cs="Times New Roman"/>
          <w:sz w:val="20"/>
          <w:szCs w:val="20"/>
        </w:rPr>
        <w:t xml:space="preserve"> and Euro over the same period from the previous day.</w:t>
      </w:r>
    </w:p>
    <w:p w14:paraId="4F75B6B8" w14:textId="16D68E0F" w:rsidR="000854E4" w:rsidRPr="004B7B66" w:rsidRDefault="001E7704" w:rsidP="00757003">
      <w:pPr>
        <w:spacing w:after="0" w:line="240" w:lineRule="auto"/>
        <w:ind w:firstLine="284"/>
        <w:jc w:val="center"/>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t</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,t</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t-1</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t-1</m:t>
                </m:r>
              </m:sub>
            </m:sSub>
          </m:den>
        </m:f>
        <m:r>
          <w:rPr>
            <w:rFonts w:ascii="Cambria Math" w:hAnsi="Cambria Math" w:cs="Times New Roman"/>
            <w:sz w:val="20"/>
            <w:szCs w:val="20"/>
          </w:rPr>
          <m:t xml:space="preserve"> × 100</m:t>
        </m:r>
      </m:oMath>
      <w:r w:rsidR="000854E4" w:rsidRPr="004B7B66">
        <w:rPr>
          <w:rFonts w:ascii="Times New Roman" w:hAnsi="Times New Roman" w:cs="Times New Roman"/>
          <w:sz w:val="20"/>
          <w:szCs w:val="20"/>
        </w:rPr>
        <w:tab/>
      </w:r>
      <w:r w:rsidR="000854E4" w:rsidRPr="004B7B66">
        <w:rPr>
          <w:rFonts w:ascii="Times New Roman" w:hAnsi="Times New Roman" w:cs="Times New Roman"/>
          <w:sz w:val="20"/>
          <w:szCs w:val="20"/>
        </w:rPr>
        <w:tab/>
      </w:r>
      <w:r w:rsidR="000854E4" w:rsidRPr="004B7B66">
        <w:rPr>
          <w:rFonts w:ascii="Times New Roman" w:hAnsi="Times New Roman" w:cs="Times New Roman"/>
          <w:sz w:val="20"/>
          <w:szCs w:val="20"/>
        </w:rPr>
        <w:tab/>
      </w:r>
      <w:r w:rsidR="000854E4" w:rsidRPr="004B7B66">
        <w:rPr>
          <w:rFonts w:ascii="Times New Roman" w:hAnsi="Times New Roman" w:cs="Times New Roman"/>
          <w:sz w:val="20"/>
          <w:szCs w:val="20"/>
        </w:rPr>
        <w:tab/>
      </w:r>
      <w:r w:rsidR="000854E4" w:rsidRPr="004B7B66">
        <w:rPr>
          <w:rFonts w:ascii="Times New Roman" w:hAnsi="Times New Roman" w:cs="Times New Roman"/>
          <w:sz w:val="20"/>
          <w:szCs w:val="20"/>
        </w:rPr>
        <w:tab/>
      </w:r>
      <w:r w:rsidR="000854E4" w:rsidRPr="004B7B66">
        <w:rPr>
          <w:rFonts w:ascii="Times New Roman" w:hAnsi="Times New Roman" w:cs="Times New Roman"/>
          <w:sz w:val="20"/>
          <w:szCs w:val="20"/>
        </w:rPr>
        <w:tab/>
      </w:r>
      <w:r w:rsidR="000854E4" w:rsidRPr="004B7B66">
        <w:rPr>
          <w:rFonts w:ascii="Times New Roman" w:hAnsi="Times New Roman" w:cs="Times New Roman"/>
          <w:sz w:val="20"/>
          <w:szCs w:val="20"/>
        </w:rPr>
        <w:tab/>
        <w:t xml:space="preserve">           </w:t>
      </w:r>
      <w:r w:rsidR="000854E4" w:rsidRPr="004B7B66">
        <w:rPr>
          <w:rFonts w:ascii="Times New Roman" w:hAnsi="Times New Roman" w:cs="Times New Roman"/>
          <w:sz w:val="20"/>
          <w:szCs w:val="20"/>
        </w:rPr>
        <w:tab/>
      </w:r>
      <w:r w:rsidR="000854E4" w:rsidRPr="004B7B66">
        <w:rPr>
          <w:rFonts w:ascii="Times New Roman" w:hAnsi="Times New Roman" w:cs="Times New Roman"/>
          <w:sz w:val="20"/>
          <w:szCs w:val="20"/>
        </w:rPr>
        <w:tab/>
        <w:t xml:space="preserve">  </w:t>
      </w:r>
      <w:r w:rsidR="005D3302">
        <w:rPr>
          <w:rFonts w:ascii="Times New Roman" w:hAnsi="Times New Roman" w:cs="Times New Roman"/>
          <w:sz w:val="20"/>
          <w:szCs w:val="20"/>
        </w:rPr>
        <w:t xml:space="preserve">                         </w:t>
      </w:r>
      <w:r w:rsidR="000854E4" w:rsidRPr="004B7B66">
        <w:rPr>
          <w:rFonts w:ascii="Times New Roman" w:hAnsi="Times New Roman" w:cs="Times New Roman"/>
          <w:sz w:val="20"/>
          <w:szCs w:val="20"/>
        </w:rPr>
        <w:t xml:space="preserve"> (1)</w:t>
      </w:r>
    </w:p>
    <w:p w14:paraId="0DC4EBF5" w14:textId="02DF0BD5" w:rsidR="000854E4" w:rsidRPr="004B7B66" w:rsidRDefault="000854E4" w:rsidP="00776F87">
      <w:pPr>
        <w:spacing w:after="0" w:line="240" w:lineRule="auto"/>
        <w:ind w:firstLine="284"/>
        <w:jc w:val="both"/>
        <w:rPr>
          <w:rFonts w:ascii="Times New Roman" w:hAnsi="Times New Roman" w:cs="Times New Roman"/>
          <w:sz w:val="20"/>
          <w:szCs w:val="20"/>
        </w:rPr>
      </w:pPr>
      <w:r w:rsidRPr="004B7B66">
        <w:rPr>
          <w:rFonts w:ascii="Times New Roman" w:hAnsi="Times New Roman" w:cs="Times New Roman"/>
          <w:sz w:val="20"/>
          <w:szCs w:val="20"/>
        </w:rPr>
        <w:t xml:space="preserve">where </w:t>
      </w: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t</m:t>
            </m:r>
          </m:sub>
        </m:sSub>
      </m:oMath>
      <w:r w:rsidRPr="004B7B66">
        <w:rPr>
          <w:rFonts w:ascii="Times New Roman" w:eastAsia="Cambria" w:hAnsi="Times New Roman" w:cs="Times New Roman"/>
          <w:i/>
          <w:sz w:val="20"/>
          <w:szCs w:val="20"/>
          <w:vertAlign w:val="subscript"/>
        </w:rPr>
        <w:t xml:space="preserve"> </w:t>
      </w:r>
      <w:r w:rsidRPr="004B7B66">
        <w:rPr>
          <w:rFonts w:ascii="Times New Roman" w:hAnsi="Times New Roman" w:cs="Times New Roman"/>
          <w:sz w:val="20"/>
          <w:szCs w:val="20"/>
        </w:rPr>
        <w:t xml:space="preserve">is the exchange rate level at time </w:t>
      </w:r>
      <m:oMath>
        <m:r>
          <w:rPr>
            <w:rFonts w:ascii="Cambria Math" w:hAnsi="Cambria Math" w:cs="Times New Roman"/>
            <w:sz w:val="20"/>
            <w:szCs w:val="20"/>
          </w:rPr>
          <m:t>t</m:t>
        </m:r>
      </m:oMath>
      <w:r w:rsidRPr="004B7B66">
        <w:rPr>
          <w:rFonts w:ascii="Times New Roman" w:hAnsi="Times New Roman" w:cs="Times New Roman"/>
          <w:sz w:val="20"/>
          <w:szCs w:val="20"/>
        </w:rPr>
        <w:t>.</w:t>
      </w:r>
      <w:hyperlink w:anchor="PoundE1" w:history="1">
        <w:r w:rsidR="00166854" w:rsidRPr="00166854">
          <w:rPr>
            <w:rStyle w:val="Hyperlink"/>
            <w:rFonts w:ascii="Times New Roman" w:hAnsi="Times New Roman" w:cs="Times New Roman"/>
            <w:sz w:val="20"/>
            <w:szCs w:val="20"/>
            <w:u w:val="none"/>
          </w:rPr>
          <w:t xml:space="preserve"> Equation </w:t>
        </w:r>
        <w:r w:rsidR="00141790" w:rsidRPr="00166854">
          <w:rPr>
            <w:rStyle w:val="Hyperlink"/>
            <w:rFonts w:ascii="Times New Roman" w:hAnsi="Times New Roman" w:cs="Times New Roman"/>
            <w:sz w:val="20"/>
            <w:szCs w:val="20"/>
            <w:u w:val="none"/>
          </w:rPr>
          <w:t>1</w:t>
        </w:r>
      </w:hyperlink>
      <w:r w:rsidR="00141790">
        <w:rPr>
          <w:rFonts w:ascii="Times New Roman" w:hAnsi="Times New Roman" w:cs="Times New Roman"/>
          <w:sz w:val="20"/>
          <w:szCs w:val="20"/>
        </w:rPr>
        <w:t xml:space="preserve"> describes how to calculate the exchange rate volatility.</w:t>
      </w:r>
    </w:p>
    <w:p w14:paraId="569CC62F" w14:textId="5323F005" w:rsidR="000854E4" w:rsidRPr="004B7B66" w:rsidRDefault="000854E4" w:rsidP="009A132C">
      <w:pPr>
        <w:spacing w:after="0" w:line="240" w:lineRule="auto"/>
        <w:ind w:firstLine="360"/>
        <w:jc w:val="both"/>
        <w:rPr>
          <w:rFonts w:ascii="Times New Roman" w:hAnsi="Times New Roman" w:cs="Times New Roman"/>
          <w:sz w:val="20"/>
          <w:szCs w:val="20"/>
        </w:rPr>
      </w:pPr>
      <w:r w:rsidRPr="004B7B66">
        <w:rPr>
          <w:rFonts w:ascii="Times New Roman" w:hAnsi="Times New Roman" w:cs="Times New Roman"/>
          <w:sz w:val="20"/>
          <w:szCs w:val="20"/>
        </w:rPr>
        <w:t xml:space="preserve">The GARCH (1,1) model was used to measure exchange rate volatility because it performed best in modelling </w:t>
      </w:r>
      <w:r w:rsidR="008C6877">
        <w:rPr>
          <w:rFonts w:ascii="Times New Roman" w:hAnsi="Times New Roman" w:cs="Times New Roman"/>
          <w:sz w:val="20"/>
          <w:szCs w:val="20"/>
        </w:rPr>
        <w:t xml:space="preserve">the </w:t>
      </w:r>
      <w:r w:rsidRPr="004B7B66">
        <w:rPr>
          <w:rFonts w:ascii="Times New Roman" w:hAnsi="Times New Roman" w:cs="Times New Roman"/>
          <w:sz w:val="20"/>
          <w:szCs w:val="20"/>
        </w:rPr>
        <w:t xml:space="preserve">volatility of stock returns or exchange rate volatility. Furthermore, it is relatively simple to </w:t>
      </w:r>
      <w:r w:rsidR="008C6877">
        <w:rPr>
          <w:rFonts w:ascii="Times New Roman" w:hAnsi="Times New Roman" w:cs="Times New Roman"/>
          <w:sz w:val="20"/>
          <w:szCs w:val="20"/>
        </w:rPr>
        <w:t>set up</w:t>
      </w:r>
      <w:r w:rsidRPr="004B7B66">
        <w:rPr>
          <w:rFonts w:ascii="Times New Roman" w:hAnsi="Times New Roman" w:cs="Times New Roman"/>
          <w:sz w:val="20"/>
          <w:szCs w:val="20"/>
        </w:rPr>
        <w:t xml:space="preserve"> and calibrate because it relies on past observations. The </w:t>
      </w:r>
      <w:bookmarkStart w:id="2" w:name="compactE2_3"/>
      <w:r w:rsidRPr="004B7B66">
        <w:rPr>
          <w:rFonts w:ascii="Times New Roman" w:hAnsi="Times New Roman" w:cs="Times New Roman"/>
          <w:sz w:val="20"/>
          <w:szCs w:val="20"/>
        </w:rPr>
        <w:t>compact</w:t>
      </w:r>
      <w:bookmarkEnd w:id="2"/>
      <w:r w:rsidRPr="004B7B66">
        <w:rPr>
          <w:rFonts w:ascii="Times New Roman" w:hAnsi="Times New Roman" w:cs="Times New Roman"/>
          <w:sz w:val="20"/>
          <w:szCs w:val="20"/>
        </w:rPr>
        <w:t xml:space="preserve"> representation of the GARCH (1,1) model </w:t>
      </w:r>
      <w:r w:rsidR="0004451C">
        <w:rPr>
          <w:rFonts w:ascii="Times New Roman" w:hAnsi="Times New Roman" w:cs="Times New Roman"/>
          <w:sz w:val="20"/>
          <w:szCs w:val="20"/>
        </w:rPr>
        <w:t>is</w:t>
      </w:r>
      <w:r w:rsidR="0004451C" w:rsidRPr="004B7B66">
        <w:rPr>
          <w:rFonts w:ascii="Times New Roman" w:hAnsi="Times New Roman" w:cs="Times New Roman"/>
          <w:sz w:val="20"/>
          <w:szCs w:val="20"/>
        </w:rPr>
        <w:t xml:space="preserve"> </w:t>
      </w:r>
      <w:r w:rsidRPr="004B7B66">
        <w:rPr>
          <w:rFonts w:ascii="Times New Roman" w:hAnsi="Times New Roman" w:cs="Times New Roman"/>
          <w:sz w:val="20"/>
          <w:szCs w:val="20"/>
        </w:rPr>
        <w:t>specified as follows:</w:t>
      </w:r>
    </w:p>
    <w:p w14:paraId="5D595A42" w14:textId="28DD6DD5" w:rsidR="000854E4" w:rsidRPr="004B7B66" w:rsidRDefault="001E7704" w:rsidP="00757003">
      <w:pPr>
        <w:tabs>
          <w:tab w:val="center" w:pos="1627"/>
          <w:tab w:val="right" w:pos="9639"/>
        </w:tabs>
        <w:spacing w:after="0" w:line="240" w:lineRule="auto"/>
        <w:ind w:firstLine="284"/>
        <w:jc w:val="center"/>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t</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0</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0</m:t>
            </m:r>
          </m:sub>
        </m:sSub>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r>
          <w:rPr>
            <w:rFonts w:ascii="Cambria Math" w:hAnsi="Cambria Math" w:cs="Times New Roman"/>
            <w:sz w:val="20"/>
            <w:szCs w:val="20"/>
          </w:rPr>
          <m:t xml:space="preserve"> </m:t>
        </m:r>
        <m:sSubSup>
          <m:sSubSupPr>
            <m:ctrlPr>
              <w:rPr>
                <w:rFonts w:ascii="Cambria Math" w:hAnsi="Cambria Math" w:cs="Times New Roman"/>
                <w:i/>
                <w:sz w:val="20"/>
                <w:szCs w:val="20"/>
              </w:rPr>
            </m:ctrlPr>
          </m:sSubSupPr>
          <m:e>
            <m:r>
              <w:rPr>
                <w:rFonts w:ascii="Cambria Math" w:hAnsi="Cambria Math" w:cs="Times New Roman"/>
                <w:sz w:val="20"/>
                <w:szCs w:val="20"/>
              </w:rPr>
              <m:t>h</m:t>
            </m:r>
          </m:e>
          <m:sub>
            <m:r>
              <w:rPr>
                <w:rFonts w:ascii="Cambria Math" w:hAnsi="Cambria Math" w:cs="Times New Roman"/>
                <w:sz w:val="20"/>
                <w:szCs w:val="20"/>
              </w:rPr>
              <m:t>t</m:t>
            </m:r>
          </m:sub>
          <m:sup>
            <m:r>
              <w:rPr>
                <w:rFonts w:ascii="Cambria Math" w:hAnsi="Cambria Math" w:cs="Times New Roman"/>
                <w:sz w:val="20"/>
                <w:szCs w:val="20"/>
              </w:rPr>
              <m:t>1/2</m:t>
            </m:r>
          </m:sup>
        </m:sSubSup>
      </m:oMath>
      <w:r w:rsidR="000854E4" w:rsidRPr="004B7B66">
        <w:rPr>
          <w:rFonts w:ascii="Times New Roman" w:hAnsi="Times New Roman" w:cs="Times New Roman"/>
          <w:sz w:val="20"/>
          <w:szCs w:val="20"/>
        </w:rPr>
        <w:t xml:space="preserve">  </w:t>
      </w:r>
      <w:r w:rsidR="000854E4" w:rsidRPr="004B7B66">
        <w:rPr>
          <w:rFonts w:ascii="Times New Roman" w:hAnsi="Times New Roman" w:cs="Times New Roman"/>
          <w:sz w:val="20"/>
          <w:szCs w:val="20"/>
        </w:rPr>
        <w:tab/>
        <w:t xml:space="preserve"> (2)</w:t>
      </w:r>
    </w:p>
    <w:p w14:paraId="3CA044E1" w14:textId="77777777" w:rsidR="000854E4" w:rsidRPr="004B7B66" w:rsidRDefault="001E7704" w:rsidP="00757003">
      <w:pPr>
        <w:tabs>
          <w:tab w:val="center" w:pos="1707"/>
          <w:tab w:val="right" w:pos="9639"/>
        </w:tabs>
        <w:spacing w:after="0" w:line="240" w:lineRule="auto"/>
        <w:ind w:firstLine="284"/>
        <w:jc w:val="center"/>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t</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α</m:t>
            </m:r>
          </m:e>
          <m:sub>
            <m:r>
              <w:rPr>
                <w:rFonts w:ascii="Cambria Math" w:hAnsi="Cambria Math" w:cs="Times New Roman"/>
                <w:sz w:val="20"/>
                <w:szCs w:val="20"/>
              </w:rPr>
              <m:t>1</m:t>
            </m:r>
          </m:sub>
        </m:sSub>
        <m:r>
          <w:rPr>
            <w:rFonts w:ascii="Cambria Math" w:hAnsi="Cambria Math" w:cs="Times New Roman"/>
            <w:sz w:val="20"/>
            <w:szCs w:val="20"/>
          </w:rPr>
          <m:t xml:space="preserve">+ </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p</m:t>
            </m:r>
          </m:sup>
          <m:e>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i</m:t>
                </m:r>
              </m:sub>
            </m:sSub>
          </m:e>
        </m:nary>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t-1</m:t>
            </m:r>
          </m:sub>
        </m:sSub>
        <m:r>
          <w:rPr>
            <w:rFonts w:ascii="Cambria Math" w:hAnsi="Cambria Math" w:cs="Times New Roman"/>
            <w:sz w:val="20"/>
            <w:szCs w:val="20"/>
          </w:rPr>
          <m:t xml:space="preserve">+ </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r>
              <w:rPr>
                <w:rFonts w:ascii="Cambria Math" w:hAnsi="Cambria Math" w:cs="Times New Roman"/>
                <w:sz w:val="20"/>
                <w:szCs w:val="20"/>
              </w:rPr>
              <m:t>q</m:t>
            </m:r>
          </m:sup>
          <m:e>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i</m:t>
                </m:r>
              </m:sub>
            </m:sSub>
          </m:e>
        </m:nary>
        <m:sSubSup>
          <m:sSubSupPr>
            <m:ctrlPr>
              <w:rPr>
                <w:rFonts w:ascii="Cambria Math" w:hAnsi="Cambria Math" w:cs="Times New Roman"/>
                <w:i/>
                <w:sz w:val="20"/>
                <w:szCs w:val="20"/>
              </w:rPr>
            </m:ctrlPr>
          </m:sSubSupPr>
          <m:e>
            <m:r>
              <w:rPr>
                <w:rFonts w:ascii="Cambria Math" w:hAnsi="Cambria Math" w:cs="Times New Roman"/>
                <w:sz w:val="20"/>
                <w:szCs w:val="20"/>
              </w:rPr>
              <m:t>ε</m:t>
            </m:r>
          </m:e>
          <m:sub>
            <m:r>
              <w:rPr>
                <w:rFonts w:ascii="Cambria Math" w:hAnsi="Cambria Math" w:cs="Times New Roman"/>
                <w:sz w:val="20"/>
                <w:szCs w:val="20"/>
              </w:rPr>
              <m:t>t-1</m:t>
            </m:r>
          </m:sub>
          <m:sup>
            <m:r>
              <w:rPr>
                <w:rFonts w:ascii="Cambria Math" w:hAnsi="Cambria Math" w:cs="Times New Roman"/>
                <w:sz w:val="20"/>
                <w:szCs w:val="20"/>
              </w:rPr>
              <m:t>2</m:t>
            </m:r>
          </m:sup>
        </m:sSubSup>
      </m:oMath>
      <w:r w:rsidR="000854E4" w:rsidRPr="004B7B66">
        <w:rPr>
          <w:rFonts w:ascii="Times New Roman" w:hAnsi="Times New Roman" w:cs="Times New Roman"/>
          <w:sz w:val="20"/>
          <w:szCs w:val="20"/>
        </w:rPr>
        <w:tab/>
        <w:t xml:space="preserve">       (3)</w:t>
      </w:r>
    </w:p>
    <w:p w14:paraId="6DCE96A4" w14:textId="2CA90E67" w:rsidR="00141790" w:rsidRDefault="001E7704" w:rsidP="00776F87">
      <w:pPr>
        <w:spacing w:after="0" w:line="240" w:lineRule="auto"/>
        <w:ind w:firstLine="284"/>
        <w:jc w:val="both"/>
        <w:rPr>
          <w:rFonts w:ascii="Times New Roman" w:hAnsi="Times New Roman" w:cs="Times New Roman"/>
          <w:color w:val="0000CC"/>
          <w:sz w:val="20"/>
          <w:szCs w:val="20"/>
          <w:shd w:val="clear" w:color="auto" w:fill="FFFFFF"/>
        </w:rPr>
      </w:pPr>
      <w:hyperlink w:anchor="compactE2_3" w:history="1">
        <w:r w:rsidR="00166854" w:rsidRPr="00166854">
          <w:rPr>
            <w:rStyle w:val="Hyperlink"/>
            <w:rFonts w:ascii="Times New Roman" w:hAnsi="Times New Roman" w:cs="Times New Roman"/>
            <w:sz w:val="20"/>
            <w:szCs w:val="20"/>
            <w:u w:val="none"/>
          </w:rPr>
          <w:t xml:space="preserve">Equations </w:t>
        </w:r>
        <w:r w:rsidR="00141790" w:rsidRPr="00166854">
          <w:rPr>
            <w:rStyle w:val="Hyperlink"/>
            <w:rFonts w:ascii="Times New Roman" w:hAnsi="Times New Roman" w:cs="Times New Roman"/>
            <w:sz w:val="20"/>
            <w:szCs w:val="20"/>
            <w:u w:val="none"/>
          </w:rPr>
          <w:t>2 and 3</w:t>
        </w:r>
      </w:hyperlink>
      <w:r w:rsidR="00141790">
        <w:rPr>
          <w:rFonts w:ascii="Times New Roman" w:hAnsi="Times New Roman" w:cs="Times New Roman"/>
          <w:sz w:val="20"/>
          <w:szCs w:val="20"/>
        </w:rPr>
        <w:t xml:space="preserve"> present the mean and variance equations of GARCH estimation.</w:t>
      </w:r>
    </w:p>
    <w:p w14:paraId="0E2C9E77" w14:textId="7E7155B0" w:rsidR="000854E4" w:rsidRPr="004B7B66" w:rsidRDefault="00E67A83" w:rsidP="009A132C">
      <w:pPr>
        <w:spacing w:after="0" w:line="240" w:lineRule="auto"/>
        <w:ind w:firstLine="360"/>
        <w:jc w:val="both"/>
        <w:rPr>
          <w:rFonts w:ascii="Times New Roman" w:hAnsi="Times New Roman" w:cs="Times New Roman"/>
          <w:sz w:val="20"/>
          <w:szCs w:val="20"/>
          <w:shd w:val="clear" w:color="auto" w:fill="FFFFFF"/>
        </w:rPr>
      </w:pPr>
      <w:r w:rsidRPr="00E67A83">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AuthorYear="1"&gt;&lt;Author&gt;Ali&lt;/Author&gt;&lt;Year&gt;2015&lt;/Year&gt;&lt;RecNum&gt;4&lt;/RecNum&gt;&lt;DisplayText&gt;Ali, et al. [27]&lt;/DisplayText&gt;&lt;record&gt;&lt;rec-number&gt;4&lt;/rec-number&gt;&lt;foreign-keys&gt;&lt;key app="EN" db-id="w02dva9072e097ez0eov2pwr9fvdzpzav5te"&gt;4&lt;/key&gt;&lt;/foreign-keys&gt;&lt;ref-type name="Journal Article"&gt;17&lt;/ref-type&gt;&lt;contributors&gt;&lt;authors&gt;&lt;author&gt;Ali, Tariq Mahmood&lt;/author&gt;&lt;author&gt;Mahmood, Muhammad Tariq&lt;/author&gt;&lt;author&gt;Bashir, Tariq&lt;/author&gt;&lt;/authors&gt;&lt;/contributors&gt;&lt;titles&gt;&lt;title&gt;Impact of interest rate, inflation and money supply on exchange rate volatility in Pakistan&lt;/title&gt;&lt;secondary-title&gt;World Applied Sciences Journal&lt;/secondary-title&gt;&lt;/titles&gt;&lt;pages&gt;620-630&lt;/pages&gt;&lt;volume&gt;33&lt;/volume&gt;&lt;number&gt;4&lt;/number&gt;&lt;dates&gt;&lt;year&gt;2015&lt;/year&gt;&lt;/dates&gt;&lt;isbn&gt;1818-4952&lt;/isbn&gt;&lt;urls&gt;&lt;/urls&gt;&lt;/record&gt;&lt;/Cite&gt;&lt;/EndNote&gt;</w:instrText>
      </w:r>
      <w:r w:rsidRPr="00E67A83">
        <w:rPr>
          <w:rFonts w:ascii="Times New Roman" w:hAnsi="Times New Roman" w:cs="Times New Roman"/>
          <w:color w:val="0000CC"/>
          <w:sz w:val="20"/>
          <w:szCs w:val="20"/>
          <w:shd w:val="clear" w:color="auto" w:fill="FFFFFF"/>
        </w:rPr>
        <w:fldChar w:fldCharType="separate"/>
      </w:r>
      <w:hyperlink w:anchor="_ENREF_27" w:tooltip="Ali, 2015 #4" w:history="1">
        <w:r w:rsidR="00AF2A4C">
          <w:rPr>
            <w:rFonts w:ascii="Times New Roman" w:hAnsi="Times New Roman" w:cs="Times New Roman"/>
            <w:noProof/>
            <w:color w:val="0000CC"/>
            <w:sz w:val="20"/>
            <w:szCs w:val="20"/>
            <w:shd w:val="clear" w:color="auto" w:fill="FFFFFF"/>
          </w:rPr>
          <w:t>Ali, et al. [27</w:t>
        </w:r>
      </w:hyperlink>
      <w:r>
        <w:rPr>
          <w:rFonts w:ascii="Times New Roman" w:hAnsi="Times New Roman" w:cs="Times New Roman"/>
          <w:noProof/>
          <w:color w:val="0000CC"/>
          <w:sz w:val="20"/>
          <w:szCs w:val="20"/>
          <w:shd w:val="clear" w:color="auto" w:fill="FFFFFF"/>
        </w:rPr>
        <w:t>]</w:t>
      </w:r>
      <w:r w:rsidRPr="00E67A83">
        <w:rPr>
          <w:rFonts w:ascii="Times New Roman" w:hAnsi="Times New Roman" w:cs="Times New Roman"/>
          <w:color w:val="0000CC"/>
          <w:sz w:val="20"/>
          <w:szCs w:val="20"/>
          <w:shd w:val="clear" w:color="auto" w:fill="FFFFFF"/>
        </w:rPr>
        <w:fldChar w:fldCharType="end"/>
      </w:r>
      <w:r w:rsidR="000854E4" w:rsidRPr="004B7B66">
        <w:rPr>
          <w:rFonts w:ascii="Times New Roman" w:hAnsi="Times New Roman" w:cs="Times New Roman"/>
          <w:sz w:val="20"/>
          <w:szCs w:val="20"/>
          <w:shd w:val="clear" w:color="auto" w:fill="FFFFFF"/>
        </w:rPr>
        <w:t xml:space="preserve"> and </w:t>
      </w:r>
      <w:r w:rsidRPr="00E67A83">
        <w:rPr>
          <w:rFonts w:ascii="Times New Roman" w:hAnsi="Times New Roman" w:cs="Times New Roman"/>
          <w:color w:val="0000CC"/>
          <w:sz w:val="20"/>
          <w:szCs w:val="20"/>
          <w:shd w:val="clear" w:color="auto" w:fill="FFFFFF"/>
        </w:rPr>
        <w:fldChar w:fldCharType="begin"/>
      </w:r>
      <w:r w:rsidR="00AF2A4C">
        <w:rPr>
          <w:rFonts w:ascii="Times New Roman" w:hAnsi="Times New Roman" w:cs="Times New Roman"/>
          <w:color w:val="0000CC"/>
          <w:sz w:val="20"/>
          <w:szCs w:val="20"/>
          <w:shd w:val="clear" w:color="auto" w:fill="FFFFFF"/>
        </w:rPr>
        <w:instrText xml:space="preserve"> ADDIN EN.CITE &lt;EndNote&gt;&lt;Cite AuthorYear="1"&gt;&lt;Author&gt;Weber&lt;/Author&gt;&lt;Year&gt;2019&lt;/Year&gt;&lt;RecNum&gt;39&lt;/RecNum&gt;&lt;DisplayText&gt;Weber [36]&lt;/DisplayText&gt;&lt;record&gt;&lt;rec-number&gt;39&lt;/rec-number&gt;&lt;foreign-keys&gt;&lt;key app="EN" db-id="w02dva9072e097ez0eov2pwr9fvdzpzav5te"&gt;39&lt;/key&gt;&lt;/foreign-keys&gt;&lt;ref-type name="Journal Article"&gt;17&lt;/ref-type&gt;&lt;contributors&gt;&lt;authors&gt;&lt;author&gt;Weber, Christoph S&lt;/author&gt;&lt;/authors&gt;&lt;/contributors&gt;&lt;titles&gt;&lt;title&gt;The effect of central bank transparency on exchange rate volatility&lt;/title&gt;&lt;secondary-title&gt;Journal of International Money and Finance&lt;/secondary-title&gt;&lt;/titles&gt;&lt;pages&gt;165-181&lt;/pages&gt;&lt;volume&gt;95&lt;/volume&gt;&lt;dates&gt;&lt;year&gt;2019&lt;/year&gt;&lt;/dates&gt;&lt;isbn&gt;0261-5606&lt;/isbn&gt;&lt;urls&gt;&lt;/urls&gt;&lt;electronic-resource-num&gt;https://doi.org/10.1016/j.jimonfin.2019.04.002&lt;/electronic-resource-num&gt;&lt;/record&gt;&lt;/Cite&gt;&lt;/EndNote&gt;</w:instrText>
      </w:r>
      <w:r w:rsidRPr="00E67A83">
        <w:rPr>
          <w:rFonts w:ascii="Times New Roman" w:hAnsi="Times New Roman" w:cs="Times New Roman"/>
          <w:color w:val="0000CC"/>
          <w:sz w:val="20"/>
          <w:szCs w:val="20"/>
          <w:shd w:val="clear" w:color="auto" w:fill="FFFFFF"/>
        </w:rPr>
        <w:fldChar w:fldCharType="separate"/>
      </w:r>
      <w:hyperlink w:anchor="_ENREF_36" w:tooltip="Weber, 2019 #39" w:history="1">
        <w:r w:rsidR="00AF2A4C">
          <w:rPr>
            <w:rFonts w:ascii="Times New Roman" w:hAnsi="Times New Roman" w:cs="Times New Roman"/>
            <w:noProof/>
            <w:color w:val="0000CC"/>
            <w:sz w:val="20"/>
            <w:szCs w:val="20"/>
            <w:shd w:val="clear" w:color="auto" w:fill="FFFFFF"/>
          </w:rPr>
          <w:t>Weber [36</w:t>
        </w:r>
      </w:hyperlink>
      <w:r>
        <w:rPr>
          <w:rFonts w:ascii="Times New Roman" w:hAnsi="Times New Roman" w:cs="Times New Roman"/>
          <w:noProof/>
          <w:color w:val="0000CC"/>
          <w:sz w:val="20"/>
          <w:szCs w:val="20"/>
          <w:shd w:val="clear" w:color="auto" w:fill="FFFFFF"/>
        </w:rPr>
        <w:t>]</w:t>
      </w:r>
      <w:r w:rsidRPr="00E67A83">
        <w:rPr>
          <w:rFonts w:ascii="Times New Roman" w:hAnsi="Times New Roman" w:cs="Times New Roman"/>
          <w:color w:val="0000CC"/>
          <w:sz w:val="20"/>
          <w:szCs w:val="20"/>
          <w:shd w:val="clear" w:color="auto" w:fill="FFFFFF"/>
        </w:rPr>
        <w:fldChar w:fldCharType="end"/>
      </w:r>
      <w:r w:rsidR="000854E4" w:rsidRPr="004B7B66">
        <w:rPr>
          <w:rFonts w:ascii="Times New Roman" w:hAnsi="Times New Roman" w:cs="Times New Roman"/>
          <w:sz w:val="20"/>
          <w:szCs w:val="20"/>
          <w:shd w:val="clear" w:color="auto" w:fill="FFFFFF"/>
        </w:rPr>
        <w:t xml:space="preserve"> were used as a reference in investigating the effects of </w:t>
      </w:r>
      <w:r w:rsidR="0004451C">
        <w:rPr>
          <w:rFonts w:ascii="Times New Roman" w:hAnsi="Times New Roman" w:cs="Times New Roman"/>
          <w:sz w:val="20"/>
          <w:szCs w:val="20"/>
          <w:shd w:val="clear" w:color="auto" w:fill="FFFFFF"/>
        </w:rPr>
        <w:t xml:space="preserve">the </w:t>
      </w:r>
      <w:r w:rsidR="000854E4" w:rsidRPr="004B7B66">
        <w:rPr>
          <w:rFonts w:ascii="Times New Roman" w:hAnsi="Times New Roman" w:cs="Times New Roman"/>
          <w:sz w:val="20"/>
          <w:szCs w:val="20"/>
          <w:shd w:val="clear" w:color="auto" w:fill="FFFFFF"/>
        </w:rPr>
        <w:t xml:space="preserve">central bank policy rate on exchange rate volatility. </w:t>
      </w:r>
      <w:r w:rsidR="000854E4" w:rsidRPr="00690D77">
        <w:rPr>
          <w:rFonts w:ascii="Times New Roman" w:hAnsi="Times New Roman" w:cs="Times New Roman"/>
          <w:color w:val="000000" w:themeColor="text1"/>
          <w:sz w:val="20"/>
          <w:szCs w:val="20"/>
          <w:shd w:val="clear" w:color="auto" w:fill="FFFFFF"/>
        </w:rPr>
        <w:t xml:space="preserve">The </w:t>
      </w:r>
      <w:bookmarkStart w:id="3" w:name="basicmodelE4"/>
      <w:r w:rsidR="000854E4" w:rsidRPr="00690D77">
        <w:rPr>
          <w:rFonts w:ascii="Times New Roman" w:hAnsi="Times New Roman" w:cs="Times New Roman"/>
          <w:color w:val="000000" w:themeColor="text1"/>
          <w:sz w:val="20"/>
          <w:szCs w:val="20"/>
          <w:shd w:val="clear" w:color="auto" w:fill="FFFFFF"/>
        </w:rPr>
        <w:t xml:space="preserve">basic model </w:t>
      </w:r>
      <w:bookmarkEnd w:id="3"/>
      <w:r w:rsidR="00141790" w:rsidRPr="00690D77">
        <w:rPr>
          <w:rFonts w:ascii="Times New Roman" w:hAnsi="Times New Roman" w:cs="Times New Roman"/>
          <w:color w:val="000000" w:themeColor="text1"/>
          <w:sz w:val="20"/>
          <w:szCs w:val="20"/>
          <w:shd w:val="clear" w:color="auto" w:fill="FFFFFF"/>
        </w:rPr>
        <w:t xml:space="preserve">in our study </w:t>
      </w:r>
      <w:r w:rsidR="000854E4" w:rsidRPr="00690D77">
        <w:rPr>
          <w:rFonts w:ascii="Times New Roman" w:hAnsi="Times New Roman" w:cs="Times New Roman"/>
          <w:color w:val="000000" w:themeColor="text1"/>
          <w:sz w:val="20"/>
          <w:szCs w:val="20"/>
          <w:shd w:val="clear" w:color="auto" w:fill="FFFFFF"/>
        </w:rPr>
        <w:t>is:</w:t>
      </w:r>
    </w:p>
    <w:p w14:paraId="60C7F0F4" w14:textId="3FAE2C18" w:rsidR="000854E4" w:rsidRPr="004B7B66" w:rsidRDefault="001E7704" w:rsidP="00757003">
      <w:pPr>
        <w:spacing w:after="0" w:line="240" w:lineRule="auto"/>
        <w:ind w:firstLine="284"/>
        <w:jc w:val="center"/>
        <w:rPr>
          <w:rFonts w:ascii="Times New Roman" w:hAnsi="Times New Roman" w:cs="Times New Roman"/>
          <w:sz w:val="20"/>
          <w:szCs w:val="20"/>
          <w:shd w:val="clear" w:color="auto" w:fill="FFFFFF"/>
        </w:rPr>
      </w:pPr>
      <m:oMath>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ERvol</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β</m:t>
            </m:r>
          </m:e>
          <m:sub>
            <m:r>
              <w:rPr>
                <w:rFonts w:ascii="Cambria Math" w:hAnsi="Cambria Math" w:cs="Times New Roman"/>
                <w:sz w:val="20"/>
                <w:szCs w:val="20"/>
                <w:shd w:val="clear" w:color="auto" w:fill="FFFFFF"/>
              </w:rPr>
              <m:t>0</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β</m:t>
            </m:r>
          </m:e>
          <m:sub>
            <m:r>
              <w:rPr>
                <w:rFonts w:ascii="Cambria Math" w:hAnsi="Cambria Math" w:cs="Times New Roman"/>
                <w:sz w:val="20"/>
                <w:szCs w:val="20"/>
                <w:shd w:val="clear" w:color="auto" w:fill="FFFFFF"/>
              </w:rPr>
              <m:t>1</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CBrate</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ε</m:t>
            </m:r>
          </m:e>
          <m:sub>
            <m:r>
              <w:rPr>
                <w:rFonts w:ascii="Cambria Math" w:hAnsi="Cambria Math" w:cs="Times New Roman"/>
                <w:sz w:val="20"/>
                <w:szCs w:val="20"/>
                <w:shd w:val="clear" w:color="auto" w:fill="FFFFFF"/>
              </w:rPr>
              <m:t>t</m:t>
            </m:r>
          </m:sub>
        </m:sSub>
      </m:oMath>
      <w:r w:rsidR="000854E4" w:rsidRPr="004B7B66">
        <w:rPr>
          <w:rFonts w:ascii="Times New Roman" w:hAnsi="Times New Roman" w:cs="Times New Roman"/>
          <w:sz w:val="20"/>
          <w:szCs w:val="20"/>
          <w:shd w:val="clear" w:color="auto" w:fill="FFFFFF"/>
        </w:rPr>
        <w:tab/>
      </w:r>
      <w:r w:rsidR="000854E4" w:rsidRPr="004B7B66">
        <w:rPr>
          <w:rFonts w:ascii="Times New Roman" w:hAnsi="Times New Roman" w:cs="Times New Roman"/>
          <w:sz w:val="20"/>
          <w:szCs w:val="20"/>
          <w:shd w:val="clear" w:color="auto" w:fill="FFFFFF"/>
        </w:rPr>
        <w:tab/>
      </w:r>
      <w:r w:rsidR="000854E4" w:rsidRPr="004B7B66">
        <w:rPr>
          <w:rFonts w:ascii="Times New Roman" w:hAnsi="Times New Roman" w:cs="Times New Roman"/>
          <w:sz w:val="20"/>
          <w:szCs w:val="20"/>
          <w:shd w:val="clear" w:color="auto" w:fill="FFFFFF"/>
        </w:rPr>
        <w:tab/>
      </w:r>
      <w:r w:rsidR="000854E4" w:rsidRPr="004B7B66">
        <w:rPr>
          <w:rFonts w:ascii="Times New Roman" w:hAnsi="Times New Roman" w:cs="Times New Roman"/>
          <w:sz w:val="20"/>
          <w:szCs w:val="20"/>
          <w:shd w:val="clear" w:color="auto" w:fill="FFFFFF"/>
        </w:rPr>
        <w:tab/>
      </w:r>
      <w:r w:rsidR="000854E4" w:rsidRPr="004B7B66">
        <w:rPr>
          <w:rFonts w:ascii="Times New Roman" w:hAnsi="Times New Roman" w:cs="Times New Roman"/>
          <w:sz w:val="20"/>
          <w:szCs w:val="20"/>
          <w:shd w:val="clear" w:color="auto" w:fill="FFFFFF"/>
        </w:rPr>
        <w:tab/>
      </w:r>
      <w:r w:rsidR="000854E4" w:rsidRPr="004B7B66">
        <w:rPr>
          <w:rFonts w:ascii="Times New Roman" w:hAnsi="Times New Roman" w:cs="Times New Roman"/>
          <w:sz w:val="20"/>
          <w:szCs w:val="20"/>
          <w:shd w:val="clear" w:color="auto" w:fill="FFFFFF"/>
        </w:rPr>
        <w:tab/>
        <w:t xml:space="preserve">             </w:t>
      </w:r>
      <w:r w:rsidR="005D3302">
        <w:rPr>
          <w:rFonts w:ascii="Times New Roman" w:hAnsi="Times New Roman" w:cs="Times New Roman"/>
          <w:sz w:val="20"/>
          <w:szCs w:val="20"/>
          <w:shd w:val="clear" w:color="auto" w:fill="FFFFFF"/>
        </w:rPr>
        <w:t xml:space="preserve">                              </w:t>
      </w:r>
      <w:r w:rsidR="000854E4" w:rsidRPr="004B7B66">
        <w:rPr>
          <w:rFonts w:ascii="Times New Roman" w:hAnsi="Times New Roman" w:cs="Times New Roman"/>
          <w:sz w:val="20"/>
          <w:szCs w:val="20"/>
          <w:shd w:val="clear" w:color="auto" w:fill="FFFFFF"/>
        </w:rPr>
        <w:t xml:space="preserve"> (4)</w:t>
      </w:r>
    </w:p>
    <w:p w14:paraId="54D2EBF2" w14:textId="49DB8FB2" w:rsidR="00690D77" w:rsidRPr="00C95693" w:rsidRDefault="001E7704" w:rsidP="009A132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360"/>
        <w:jc w:val="both"/>
        <w:rPr>
          <w:rFonts w:ascii="Times New Roman" w:hAnsi="Times New Roman" w:cs="Times New Roman"/>
          <w:shd w:val="clear" w:color="auto" w:fill="FFFFFF"/>
        </w:rPr>
      </w:pPr>
      <w:hyperlink w:anchor="basicmodelE4" w:history="1">
        <w:r w:rsidR="00690D77" w:rsidRPr="00C95693">
          <w:rPr>
            <w:rStyle w:val="Hyperlink"/>
            <w:rFonts w:ascii="Times New Roman" w:hAnsi="Times New Roman" w:cs="Times New Roman"/>
            <w:u w:val="none"/>
            <w:shd w:val="clear" w:color="auto" w:fill="FFFFFF"/>
          </w:rPr>
          <w:t>Equation 4</w:t>
        </w:r>
      </w:hyperlink>
      <w:r w:rsidR="00690D77" w:rsidRPr="00C95693">
        <w:rPr>
          <w:rFonts w:ascii="Times New Roman" w:hAnsi="Times New Roman" w:cs="Times New Roman"/>
          <w:shd w:val="clear" w:color="auto" w:fill="FFFFFF"/>
        </w:rPr>
        <w:t xml:space="preserve"> presents that exchange rate volatility is explained by </w:t>
      </w:r>
      <w:r w:rsidR="0004451C">
        <w:rPr>
          <w:rFonts w:ascii="Times New Roman" w:hAnsi="Times New Roman" w:cs="Times New Roman"/>
          <w:shd w:val="clear" w:color="auto" w:fill="FFFFFF"/>
        </w:rPr>
        <w:t xml:space="preserve">the </w:t>
      </w:r>
      <w:r w:rsidR="00690D77" w:rsidRPr="00C95693">
        <w:rPr>
          <w:rFonts w:ascii="Times New Roman" w:hAnsi="Times New Roman" w:cs="Times New Roman"/>
          <w:shd w:val="clear" w:color="auto" w:fill="FFFFFF"/>
        </w:rPr>
        <w:t>central bank policy rate.</w:t>
      </w:r>
    </w:p>
    <w:p w14:paraId="7C5602B4" w14:textId="182B119A" w:rsidR="000854E4" w:rsidRPr="00690D77" w:rsidRDefault="000854E4" w:rsidP="009A132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360"/>
        <w:jc w:val="both"/>
        <w:rPr>
          <w:rFonts w:ascii="Times New Roman" w:hAnsi="Times New Roman" w:cs="Times New Roman"/>
          <w:color w:val="000000" w:themeColor="text1"/>
        </w:rPr>
      </w:pPr>
      <w:r w:rsidRPr="00690D77">
        <w:rPr>
          <w:rFonts w:ascii="Times New Roman" w:hAnsi="Times New Roman" w:cs="Times New Roman"/>
          <w:color w:val="000000" w:themeColor="text1"/>
          <w:shd w:val="clear" w:color="auto" w:fill="FFFFFF"/>
        </w:rPr>
        <w:t xml:space="preserve">Thus, </w:t>
      </w:r>
      <w:bookmarkStart w:id="4" w:name="ourmodelE5"/>
      <w:r w:rsidRPr="00690D77">
        <w:rPr>
          <w:rFonts w:ascii="Times New Roman" w:hAnsi="Times New Roman" w:cs="Times New Roman"/>
          <w:color w:val="000000" w:themeColor="text1"/>
          <w:shd w:val="clear" w:color="auto" w:fill="FFFFFF"/>
        </w:rPr>
        <w:t xml:space="preserve">our model </w:t>
      </w:r>
      <w:bookmarkEnd w:id="4"/>
      <w:r w:rsidR="00141790" w:rsidRPr="00690D77">
        <w:rPr>
          <w:rFonts w:ascii="Times New Roman" w:hAnsi="Times New Roman" w:cs="Times New Roman"/>
          <w:color w:val="000000" w:themeColor="text1"/>
          <w:shd w:val="clear" w:color="auto" w:fill="FFFFFF"/>
        </w:rPr>
        <w:t xml:space="preserve">in this paper </w:t>
      </w:r>
      <w:r w:rsidR="00690D77" w:rsidRPr="00690D77">
        <w:rPr>
          <w:rFonts w:ascii="Times New Roman" w:hAnsi="Times New Roman" w:cs="Times New Roman"/>
          <w:color w:val="000000" w:themeColor="text1"/>
          <w:shd w:val="clear" w:color="auto" w:fill="FFFFFF"/>
        </w:rPr>
        <w:t>is</w:t>
      </w:r>
      <w:r w:rsidRPr="00690D77">
        <w:rPr>
          <w:rFonts w:ascii="Times New Roman" w:hAnsi="Times New Roman" w:cs="Times New Roman"/>
          <w:color w:val="000000" w:themeColor="text1"/>
          <w:shd w:val="clear" w:color="auto" w:fill="FFFFFF"/>
        </w:rPr>
        <w:t>:</w:t>
      </w:r>
    </w:p>
    <w:p w14:paraId="0AB2B34C" w14:textId="58523951" w:rsidR="000854E4" w:rsidRPr="004B7B66" w:rsidRDefault="001E7704" w:rsidP="00757003">
      <w:pPr>
        <w:spacing w:after="0" w:line="240" w:lineRule="auto"/>
        <w:ind w:left="1418" w:hanging="1134"/>
        <w:jc w:val="center"/>
        <w:rPr>
          <w:rFonts w:ascii="Times New Roman" w:hAnsi="Times New Roman" w:cs="Times New Roman"/>
          <w:sz w:val="20"/>
          <w:szCs w:val="20"/>
          <w:shd w:val="clear" w:color="auto" w:fill="FFFFFF"/>
        </w:rPr>
      </w:pPr>
      <m:oMath>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ERvol</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β</m:t>
            </m:r>
          </m:e>
          <m:sub>
            <m:r>
              <w:rPr>
                <w:rFonts w:ascii="Cambria Math" w:hAnsi="Cambria Math" w:cs="Times New Roman"/>
                <w:sz w:val="20"/>
                <w:szCs w:val="20"/>
                <w:shd w:val="clear" w:color="auto" w:fill="FFFFFF"/>
              </w:rPr>
              <m:t>0</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β</m:t>
            </m:r>
          </m:e>
          <m:sub>
            <m:r>
              <w:rPr>
                <w:rFonts w:ascii="Cambria Math" w:hAnsi="Cambria Math" w:cs="Times New Roman"/>
                <w:sz w:val="20"/>
                <w:szCs w:val="20"/>
                <w:shd w:val="clear" w:color="auto" w:fill="FFFFFF"/>
              </w:rPr>
              <m:t>1</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CBrate</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β</m:t>
            </m:r>
          </m:e>
          <m:sub>
            <m:r>
              <w:rPr>
                <w:rFonts w:ascii="Cambria Math" w:hAnsi="Cambria Math" w:cs="Times New Roman"/>
                <w:sz w:val="20"/>
                <w:szCs w:val="20"/>
                <w:shd w:val="clear" w:color="auto" w:fill="FFFFFF"/>
              </w:rPr>
              <m:t>2</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Output Gap</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β</m:t>
            </m:r>
          </m:e>
          <m:sub>
            <m:r>
              <w:rPr>
                <w:rFonts w:ascii="Cambria Math" w:hAnsi="Cambria Math" w:cs="Times New Roman"/>
                <w:sz w:val="20"/>
                <w:szCs w:val="20"/>
                <w:shd w:val="clear" w:color="auto" w:fill="FFFFFF"/>
              </w:rPr>
              <m:t>3</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Money per GDP</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β</m:t>
            </m:r>
          </m:e>
          <m:sub>
            <m:r>
              <w:rPr>
                <w:rFonts w:ascii="Cambria Math" w:hAnsi="Cambria Math" w:cs="Times New Roman"/>
                <w:sz w:val="20"/>
                <w:szCs w:val="20"/>
                <w:shd w:val="clear" w:color="auto" w:fill="FFFFFF"/>
              </w:rPr>
              <m:t>4</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Credit Gap</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ε</m:t>
            </m:r>
          </m:e>
          <m:sub>
            <m:r>
              <w:rPr>
                <w:rFonts w:ascii="Cambria Math" w:hAnsi="Cambria Math" w:cs="Times New Roman"/>
                <w:sz w:val="20"/>
                <w:szCs w:val="20"/>
                <w:shd w:val="clear" w:color="auto" w:fill="FFFFFF"/>
              </w:rPr>
              <m:t>t</m:t>
            </m:r>
          </m:sub>
        </m:sSub>
      </m:oMath>
      <w:r w:rsidR="000854E4" w:rsidRPr="004B7B66">
        <w:rPr>
          <w:rFonts w:ascii="Times New Roman" w:hAnsi="Times New Roman" w:cs="Times New Roman"/>
          <w:sz w:val="20"/>
          <w:szCs w:val="20"/>
          <w:shd w:val="clear" w:color="auto" w:fill="FFFFFF"/>
        </w:rPr>
        <w:tab/>
        <w:t xml:space="preserve">           </w:t>
      </w:r>
      <w:r w:rsidR="000854E4" w:rsidRPr="004B7B66">
        <w:rPr>
          <w:rFonts w:ascii="Times New Roman" w:hAnsi="Times New Roman" w:cs="Times New Roman"/>
          <w:sz w:val="20"/>
          <w:szCs w:val="20"/>
          <w:shd w:val="clear" w:color="auto" w:fill="FFFFFF"/>
        </w:rPr>
        <w:tab/>
        <w:t xml:space="preserve"> (5)</w:t>
      </w:r>
    </w:p>
    <w:p w14:paraId="680BFF86" w14:textId="34F37CD9" w:rsidR="000854E4" w:rsidRPr="004B7B66" w:rsidRDefault="001E7704" w:rsidP="00690D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360"/>
        <w:jc w:val="both"/>
        <w:rPr>
          <w:rFonts w:ascii="Times New Roman" w:hAnsi="Times New Roman" w:cs="Times New Roman"/>
          <w:shd w:val="clear" w:color="auto" w:fill="FFFFFF"/>
        </w:rPr>
      </w:pPr>
      <w:hyperlink w:anchor="ourmodelE5" w:history="1">
        <w:r w:rsidR="00690D77" w:rsidRPr="00C95693">
          <w:rPr>
            <w:rStyle w:val="Hyperlink"/>
            <w:rFonts w:ascii="Times New Roman" w:hAnsi="Times New Roman" w:cs="Times New Roman"/>
            <w:u w:val="none"/>
            <w:shd w:val="clear" w:color="auto" w:fill="FFFFFF"/>
          </w:rPr>
          <w:t>Equation 5</w:t>
        </w:r>
      </w:hyperlink>
      <w:r w:rsidR="00690D77" w:rsidRPr="00C95693">
        <w:rPr>
          <w:rFonts w:ascii="Times New Roman" w:hAnsi="Times New Roman" w:cs="Times New Roman"/>
          <w:shd w:val="clear" w:color="auto" w:fill="FFFFFF"/>
        </w:rPr>
        <w:t xml:space="preserve"> describes that exchange rate volatility is explained by central bank policy rate, output gap, money supply and credit gap. </w:t>
      </w:r>
      <w:r w:rsidR="000854E4" w:rsidRPr="00C95693">
        <w:rPr>
          <w:rFonts w:ascii="Times New Roman" w:hAnsi="Times New Roman" w:cs="Times New Roman"/>
          <w:shd w:val="clear" w:color="auto" w:fill="FFFFFF"/>
        </w:rPr>
        <w:t xml:space="preserve">Where </w:t>
      </w:r>
      <w:proofErr w:type="spellStart"/>
      <w:r w:rsidR="000854E4" w:rsidRPr="004B7B66">
        <w:rPr>
          <w:rFonts w:ascii="Times New Roman" w:hAnsi="Times New Roman" w:cs="Times New Roman"/>
          <w:shd w:val="clear" w:color="auto" w:fill="FFFFFF"/>
        </w:rPr>
        <w:t>ERvol</w:t>
      </w:r>
      <w:proofErr w:type="spellEnd"/>
      <w:r w:rsidR="000854E4" w:rsidRPr="004B7B66">
        <w:rPr>
          <w:rFonts w:ascii="Times New Roman" w:hAnsi="Times New Roman" w:cs="Times New Roman"/>
          <w:shd w:val="clear" w:color="auto" w:fill="FFFFFF"/>
        </w:rPr>
        <w:t xml:space="preserve"> is exchange rate volatility (IDR-USD, </w:t>
      </w:r>
      <w:r w:rsidR="000854E4" w:rsidRPr="004B7B66">
        <w:rPr>
          <w:rFonts w:ascii="Times New Roman" w:hAnsi="Times New Roman" w:cs="Times New Roman"/>
        </w:rPr>
        <w:t>IDR-SGD, IDR-AUD, IDR-GBP, and IDR-EURO</w:t>
      </w:r>
      <w:r w:rsidR="000854E4" w:rsidRPr="004B7B66">
        <w:rPr>
          <w:rFonts w:ascii="Times New Roman" w:hAnsi="Times New Roman" w:cs="Times New Roman"/>
          <w:shd w:val="clear" w:color="auto" w:fill="FFFFFF"/>
        </w:rPr>
        <w:t xml:space="preserve"> volatilities); </w:t>
      </w:r>
      <w:proofErr w:type="spellStart"/>
      <w:r w:rsidR="000854E4" w:rsidRPr="004B7B66">
        <w:rPr>
          <w:rFonts w:ascii="Times New Roman" w:hAnsi="Times New Roman" w:cs="Times New Roman"/>
          <w:shd w:val="clear" w:color="auto" w:fill="FFFFFF"/>
        </w:rPr>
        <w:t>CBrate</w:t>
      </w:r>
      <w:proofErr w:type="spellEnd"/>
      <w:r w:rsidR="000854E4" w:rsidRPr="004B7B66">
        <w:rPr>
          <w:rFonts w:ascii="Times New Roman" w:hAnsi="Times New Roman" w:cs="Times New Roman"/>
          <w:shd w:val="clear" w:color="auto" w:fill="FFFFFF"/>
        </w:rPr>
        <w:t xml:space="preserve"> is central bank rate. The econometric methodology used in the model was the multiple regression equation through the application of Autoregression Distribution Lag (ARDL). This model makes it simple to </w:t>
      </w:r>
      <w:r w:rsidR="000854E4" w:rsidRPr="004B7B66">
        <w:rPr>
          <w:rFonts w:ascii="Times New Roman" w:hAnsi="Times New Roman" w:cs="Times New Roman"/>
          <w:shd w:val="clear" w:color="FFFFFF" w:fill="FFFFFF"/>
        </w:rPr>
        <w:t xml:space="preserve">examine both </w:t>
      </w:r>
      <w:r w:rsidR="000854E4" w:rsidRPr="004B7B66">
        <w:rPr>
          <w:rFonts w:ascii="Times New Roman" w:hAnsi="Times New Roman" w:cs="Times New Roman"/>
          <w:shd w:val="clear" w:color="FFFFFF" w:fill="FFFFFF"/>
        </w:rPr>
        <w:lastRenderedPageBreak/>
        <w:t xml:space="preserve">the short- and long-term volatility </w:t>
      </w:r>
      <w:r w:rsidR="000854E4" w:rsidRPr="004B7B66">
        <w:rPr>
          <w:rFonts w:ascii="Times New Roman" w:hAnsi="Times New Roman" w:cs="Times New Roman"/>
          <w:shd w:val="clear" w:color="auto" w:fill="FFFFFF"/>
        </w:rPr>
        <w:t xml:space="preserve">of ER. The ARDL model (p, q, …, q) which </w:t>
      </w:r>
      <w:bookmarkStart w:id="5" w:name="wasE6"/>
      <w:r w:rsidR="000854E4" w:rsidRPr="004B7B66">
        <w:rPr>
          <w:rFonts w:ascii="Times New Roman" w:hAnsi="Times New Roman" w:cs="Times New Roman"/>
          <w:shd w:val="clear" w:color="auto" w:fill="FFFFFF"/>
        </w:rPr>
        <w:t xml:space="preserve">was </w:t>
      </w:r>
      <w:bookmarkEnd w:id="5"/>
      <w:r w:rsidR="000854E4" w:rsidRPr="004B7B66">
        <w:rPr>
          <w:rFonts w:ascii="Times New Roman" w:hAnsi="Times New Roman" w:cs="Times New Roman"/>
          <w:shd w:val="clear" w:color="auto" w:fill="FFFFFF"/>
        </w:rPr>
        <w:t>defined for the same q in the explanatory variables as follows:</w:t>
      </w:r>
    </w:p>
    <w:p w14:paraId="2A440885" w14:textId="4A487AEA" w:rsidR="000854E4" w:rsidRPr="004B7B66" w:rsidRDefault="001E7704" w:rsidP="00E67A83">
      <w:pPr>
        <w:spacing w:after="0" w:line="240" w:lineRule="auto"/>
        <w:ind w:firstLine="284"/>
        <w:jc w:val="center"/>
        <w:rPr>
          <w:rFonts w:ascii="Times New Roman" w:hAnsi="Times New Roman" w:cs="Times New Roman"/>
          <w:sz w:val="20"/>
          <w:szCs w:val="20"/>
          <w:shd w:val="clear" w:color="auto" w:fill="FFFFFF"/>
        </w:rPr>
      </w:pPr>
      <m:oMath>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y</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α</m:t>
            </m:r>
          </m:e>
          <m:sub>
            <m:r>
              <w:rPr>
                <w:rFonts w:ascii="Cambria Math" w:hAnsi="Cambria Math" w:cs="Times New Roman"/>
                <w:sz w:val="20"/>
                <w:szCs w:val="20"/>
                <w:shd w:val="clear" w:color="auto" w:fill="FFFFFF"/>
              </w:rPr>
              <m:t>0</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α</m:t>
            </m:r>
          </m:e>
          <m:sub>
            <m:r>
              <w:rPr>
                <w:rFonts w:ascii="Cambria Math" w:hAnsi="Cambria Math" w:cs="Times New Roman"/>
                <w:sz w:val="20"/>
                <w:szCs w:val="20"/>
                <w:shd w:val="clear" w:color="auto" w:fill="FFFFFF"/>
              </w:rPr>
              <m:t>1</m:t>
            </m:r>
          </m:sub>
        </m:sSub>
        <m:r>
          <w:rPr>
            <w:rFonts w:ascii="Cambria Math" w:hAnsi="Cambria Math" w:cs="Times New Roman"/>
            <w:sz w:val="20"/>
            <w:szCs w:val="20"/>
            <w:shd w:val="clear" w:color="auto" w:fill="FFFFFF"/>
          </w:rPr>
          <m:t xml:space="preserve">+ </m:t>
        </m:r>
        <m:nary>
          <m:naryPr>
            <m:chr m:val="∑"/>
            <m:limLoc m:val="undOvr"/>
            <m:ctrlPr>
              <w:rPr>
                <w:rFonts w:ascii="Cambria Math" w:hAnsi="Cambria Math" w:cs="Times New Roman"/>
                <w:i/>
                <w:sz w:val="20"/>
                <w:szCs w:val="20"/>
                <w:shd w:val="clear" w:color="auto" w:fill="FFFFFF"/>
              </w:rPr>
            </m:ctrlPr>
          </m:naryPr>
          <m:sub>
            <m:r>
              <w:rPr>
                <w:rFonts w:ascii="Cambria Math" w:hAnsi="Cambria Math" w:cs="Times New Roman"/>
                <w:sz w:val="20"/>
                <w:szCs w:val="20"/>
                <w:shd w:val="clear" w:color="auto" w:fill="FFFFFF"/>
              </w:rPr>
              <m:t>j=1</m:t>
            </m:r>
          </m:sub>
          <m:sup>
            <m:r>
              <w:rPr>
                <w:rFonts w:ascii="Cambria Math" w:hAnsi="Cambria Math" w:cs="Times New Roman"/>
                <w:sz w:val="20"/>
                <w:szCs w:val="20"/>
                <w:shd w:val="clear" w:color="auto" w:fill="FFFFFF"/>
              </w:rPr>
              <m:t>p</m:t>
            </m:r>
          </m:sup>
          <m:e>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β</m:t>
                </m:r>
              </m:e>
              <m:sub>
                <m:r>
                  <w:rPr>
                    <w:rFonts w:ascii="Cambria Math" w:hAnsi="Cambria Math" w:cs="Times New Roman"/>
                    <w:sz w:val="20"/>
                    <w:szCs w:val="20"/>
                    <w:shd w:val="clear" w:color="auto" w:fill="FFFFFF"/>
                  </w:rPr>
                  <m:t>j</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y</m:t>
                </m:r>
              </m:e>
              <m:sub>
                <m:r>
                  <w:rPr>
                    <w:rFonts w:ascii="Cambria Math" w:hAnsi="Cambria Math" w:cs="Times New Roman"/>
                    <w:sz w:val="20"/>
                    <w:szCs w:val="20"/>
                    <w:shd w:val="clear" w:color="auto" w:fill="FFFFFF"/>
                  </w:rPr>
                  <m:t>t-j</m:t>
                </m:r>
              </m:sub>
            </m:sSub>
            <m:r>
              <w:rPr>
                <w:rFonts w:ascii="Cambria Math" w:hAnsi="Cambria Math" w:cs="Times New Roman"/>
                <w:sz w:val="20"/>
                <w:szCs w:val="20"/>
                <w:shd w:val="clear" w:color="auto" w:fill="FFFFFF"/>
              </w:rPr>
              <m:t xml:space="preserve"> + </m:t>
            </m:r>
            <m:nary>
              <m:naryPr>
                <m:chr m:val="∑"/>
                <m:limLoc m:val="undOvr"/>
                <m:ctrlPr>
                  <w:rPr>
                    <w:rFonts w:ascii="Cambria Math" w:hAnsi="Cambria Math" w:cs="Times New Roman"/>
                    <w:i/>
                    <w:sz w:val="20"/>
                    <w:szCs w:val="20"/>
                    <w:shd w:val="clear" w:color="auto" w:fill="FFFFFF"/>
                  </w:rPr>
                </m:ctrlPr>
              </m:naryPr>
              <m:sub>
                <m:r>
                  <w:rPr>
                    <w:rFonts w:ascii="Cambria Math" w:hAnsi="Cambria Math" w:cs="Times New Roman"/>
                    <w:sz w:val="20"/>
                    <w:szCs w:val="20"/>
                    <w:shd w:val="clear" w:color="auto" w:fill="FFFFFF"/>
                  </w:rPr>
                  <m:t>j=0</m:t>
                </m:r>
              </m:sub>
              <m:sup>
                <m:r>
                  <w:rPr>
                    <w:rFonts w:ascii="Cambria Math" w:hAnsi="Cambria Math" w:cs="Times New Roman"/>
                    <w:sz w:val="20"/>
                    <w:szCs w:val="20"/>
                    <w:shd w:val="clear" w:color="auto" w:fill="FFFFFF"/>
                  </w:rPr>
                  <m:t>q</m:t>
                </m:r>
              </m:sup>
              <m:e>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γ</m:t>
                    </m:r>
                  </m:e>
                  <m:sub>
                    <m:r>
                      <w:rPr>
                        <w:rFonts w:ascii="Cambria Math" w:hAnsi="Cambria Math" w:cs="Times New Roman"/>
                        <w:sz w:val="20"/>
                        <w:szCs w:val="20"/>
                        <w:shd w:val="clear" w:color="auto" w:fill="FFFFFF"/>
                      </w:rPr>
                      <m:t>k</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x</m:t>
                    </m:r>
                  </m:e>
                  <m:sub>
                    <m:r>
                      <w:rPr>
                        <w:rFonts w:ascii="Cambria Math" w:hAnsi="Cambria Math" w:cs="Times New Roman"/>
                        <w:sz w:val="20"/>
                        <w:szCs w:val="20"/>
                        <w:shd w:val="clear" w:color="auto" w:fill="FFFFFF"/>
                      </w:rPr>
                      <m:t>t-n</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ε</m:t>
                    </m:r>
                  </m:e>
                  <m:sub>
                    <m:r>
                      <w:rPr>
                        <w:rFonts w:ascii="Cambria Math" w:hAnsi="Cambria Math" w:cs="Times New Roman"/>
                        <w:sz w:val="20"/>
                        <w:szCs w:val="20"/>
                        <w:shd w:val="clear" w:color="auto" w:fill="FFFFFF"/>
                      </w:rPr>
                      <m:t>t</m:t>
                    </m:r>
                  </m:sub>
                </m:sSub>
              </m:e>
            </m:nary>
          </m:e>
        </m:nary>
      </m:oMath>
      <w:r w:rsidR="000854E4" w:rsidRPr="004B7B66">
        <w:rPr>
          <w:rFonts w:ascii="Times New Roman" w:hAnsi="Times New Roman" w:cs="Times New Roman"/>
          <w:sz w:val="20"/>
          <w:szCs w:val="20"/>
          <w:shd w:val="clear" w:color="auto" w:fill="FFFFFF"/>
        </w:rPr>
        <w:tab/>
        <w:t xml:space="preserve">                                                 </w:t>
      </w:r>
      <w:r w:rsidR="00293371">
        <w:rPr>
          <w:rFonts w:ascii="Times New Roman" w:hAnsi="Times New Roman" w:cs="Times New Roman"/>
          <w:sz w:val="20"/>
          <w:szCs w:val="20"/>
          <w:shd w:val="clear" w:color="auto" w:fill="FFFFFF"/>
        </w:rPr>
        <w:t xml:space="preserve">                      </w:t>
      </w:r>
      <w:r w:rsidR="000854E4" w:rsidRPr="004B7B66">
        <w:rPr>
          <w:rFonts w:ascii="Times New Roman" w:hAnsi="Times New Roman" w:cs="Times New Roman"/>
          <w:sz w:val="20"/>
          <w:szCs w:val="20"/>
          <w:shd w:val="clear" w:color="auto" w:fill="FFFFFF"/>
        </w:rPr>
        <w:t xml:space="preserve"> (6)</w:t>
      </w:r>
    </w:p>
    <w:p w14:paraId="5453DBF4" w14:textId="77777777" w:rsidR="00776F87" w:rsidRDefault="001E7704" w:rsidP="00776F87">
      <w:pPr>
        <w:spacing w:after="0" w:line="240" w:lineRule="auto"/>
        <w:ind w:firstLine="360"/>
        <w:jc w:val="both"/>
        <w:rPr>
          <w:rFonts w:ascii="Times New Roman" w:hAnsi="Times New Roman" w:cs="Times New Roman"/>
          <w:sz w:val="20"/>
          <w:szCs w:val="20"/>
          <w:shd w:val="clear" w:color="auto" w:fill="FFFFFF"/>
        </w:rPr>
      </w:pPr>
      <w:hyperlink w:anchor="wasE6" w:history="1">
        <w:r w:rsidR="00141790" w:rsidRPr="00166854">
          <w:rPr>
            <w:rStyle w:val="Hyperlink"/>
            <w:rFonts w:ascii="Times New Roman" w:hAnsi="Times New Roman" w:cs="Times New Roman"/>
            <w:sz w:val="20"/>
            <w:szCs w:val="20"/>
            <w:u w:val="none"/>
            <w:shd w:val="clear" w:color="auto" w:fill="FFFFFF"/>
          </w:rPr>
          <w:t>Equation 6</w:t>
        </w:r>
      </w:hyperlink>
      <w:r w:rsidR="00141790">
        <w:rPr>
          <w:rFonts w:ascii="Times New Roman" w:hAnsi="Times New Roman" w:cs="Times New Roman"/>
          <w:sz w:val="20"/>
          <w:szCs w:val="20"/>
          <w:shd w:val="clear" w:color="auto" w:fill="FFFFFF"/>
        </w:rPr>
        <w:t xml:space="preserve"> presents the long-run equation of ARDL. Meanwhile, </w:t>
      </w:r>
      <w:hyperlink w:anchor="errorE7" w:history="1">
        <w:r w:rsidR="00D4211D" w:rsidRPr="00D4211D">
          <w:rPr>
            <w:rStyle w:val="Hyperlink"/>
            <w:rFonts w:ascii="Times New Roman" w:hAnsi="Times New Roman" w:cs="Times New Roman"/>
            <w:sz w:val="20"/>
            <w:szCs w:val="20"/>
            <w:u w:val="none"/>
            <w:shd w:val="clear" w:color="auto" w:fill="FFFFFF"/>
          </w:rPr>
          <w:t xml:space="preserve">Equation </w:t>
        </w:r>
        <w:r w:rsidR="00141790" w:rsidRPr="00D4211D">
          <w:rPr>
            <w:rStyle w:val="Hyperlink"/>
            <w:rFonts w:ascii="Times New Roman" w:hAnsi="Times New Roman" w:cs="Times New Roman"/>
            <w:sz w:val="20"/>
            <w:szCs w:val="20"/>
            <w:u w:val="none"/>
            <w:shd w:val="clear" w:color="auto" w:fill="FFFFFF"/>
          </w:rPr>
          <w:t>7</w:t>
        </w:r>
      </w:hyperlink>
      <w:r w:rsidR="00141790">
        <w:rPr>
          <w:rFonts w:ascii="Times New Roman" w:hAnsi="Times New Roman" w:cs="Times New Roman"/>
          <w:sz w:val="20"/>
          <w:szCs w:val="20"/>
          <w:shd w:val="clear" w:color="auto" w:fill="FFFFFF"/>
        </w:rPr>
        <w:t xml:space="preserve"> explains the short-run equations of ARDL.</w:t>
      </w:r>
    </w:p>
    <w:p w14:paraId="333D5461" w14:textId="0FA1FC2C" w:rsidR="000854E4" w:rsidRPr="004B7B66" w:rsidRDefault="000854E4" w:rsidP="00776F87">
      <w:pPr>
        <w:spacing w:after="0" w:line="240" w:lineRule="auto"/>
        <w:ind w:firstLine="360"/>
        <w:jc w:val="both"/>
        <w:rPr>
          <w:rFonts w:ascii="Times New Roman" w:hAnsi="Times New Roman" w:cs="Times New Roman"/>
          <w:sz w:val="20"/>
          <w:szCs w:val="20"/>
          <w:shd w:val="clear" w:color="auto" w:fill="FFFFFF"/>
        </w:rPr>
      </w:pPr>
      <w:r w:rsidRPr="004B7B66">
        <w:rPr>
          <w:rFonts w:ascii="Times New Roman" w:hAnsi="Times New Roman" w:cs="Times New Roman"/>
          <w:sz w:val="20"/>
          <w:szCs w:val="20"/>
          <w:shd w:val="clear" w:color="auto" w:fill="FFFFFF"/>
        </w:rPr>
        <w:t xml:space="preserve">The conditional </w:t>
      </w:r>
      <w:bookmarkStart w:id="6" w:name="errorE7"/>
      <w:r w:rsidRPr="004B7B66">
        <w:rPr>
          <w:rFonts w:ascii="Times New Roman" w:hAnsi="Times New Roman" w:cs="Times New Roman"/>
          <w:sz w:val="20"/>
          <w:szCs w:val="20"/>
          <w:shd w:val="clear" w:color="auto" w:fill="FFFFFF"/>
        </w:rPr>
        <w:t>error</w:t>
      </w:r>
      <w:bookmarkEnd w:id="6"/>
      <w:r w:rsidR="00887493">
        <w:rPr>
          <w:rFonts w:ascii="Times New Roman" w:hAnsi="Times New Roman" w:cs="Times New Roman"/>
          <w:sz w:val="20"/>
          <w:szCs w:val="20"/>
          <w:shd w:val="clear" w:color="auto" w:fill="FFFFFF"/>
        </w:rPr>
        <w:t xml:space="preserve"> </w:t>
      </w:r>
      <w:r w:rsidRPr="004B7B66">
        <w:rPr>
          <w:rFonts w:ascii="Times New Roman" w:hAnsi="Times New Roman" w:cs="Times New Roman"/>
          <w:sz w:val="20"/>
          <w:szCs w:val="20"/>
          <w:shd w:val="clear" w:color="auto" w:fill="FFFFFF"/>
        </w:rPr>
        <w:t>correction is described by:</w:t>
      </w:r>
    </w:p>
    <w:p w14:paraId="52DADD56" w14:textId="393241C6" w:rsidR="000854E4" w:rsidRPr="004B7B66" w:rsidRDefault="001E7704" w:rsidP="00E67A83">
      <w:pPr>
        <w:tabs>
          <w:tab w:val="left" w:pos="8931"/>
        </w:tabs>
        <w:spacing w:after="0" w:line="240" w:lineRule="auto"/>
        <w:ind w:firstLine="284"/>
        <w:jc w:val="center"/>
        <w:rPr>
          <w:rFonts w:ascii="Times New Roman" w:hAnsi="Times New Roman" w:cs="Times New Roman"/>
          <w:sz w:val="20"/>
          <w:szCs w:val="20"/>
          <w:shd w:val="clear" w:color="auto" w:fill="FFFFFF"/>
        </w:rPr>
      </w:pPr>
      <m:oMath>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Δy</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 </m:t>
        </m:r>
        <w:bookmarkStart w:id="7" w:name="_Hlk70339198"/>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α</m:t>
            </m:r>
          </m:e>
          <m:sub>
            <m:r>
              <w:rPr>
                <w:rFonts w:ascii="Cambria Math" w:hAnsi="Cambria Math" w:cs="Times New Roman"/>
                <w:sz w:val="20"/>
                <w:szCs w:val="20"/>
                <w:shd w:val="clear" w:color="auto" w:fill="FFFFFF"/>
              </w:rPr>
              <m:t>0</m:t>
            </m:r>
          </m:sub>
        </m:sSub>
        <w:bookmarkEnd w:id="7"/>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α</m:t>
            </m:r>
          </m:e>
          <m:sub>
            <m:r>
              <w:rPr>
                <w:rFonts w:ascii="Cambria Math" w:hAnsi="Cambria Math" w:cs="Times New Roman"/>
                <w:sz w:val="20"/>
                <w:szCs w:val="20"/>
                <w:shd w:val="clear" w:color="auto" w:fill="FFFFFF"/>
              </w:rPr>
              <m:t>1</m:t>
            </m:r>
          </m:sub>
        </m:sSub>
        <m:r>
          <w:rPr>
            <w:rFonts w:ascii="Cambria Math" w:hAnsi="Cambria Math" w:cs="Times New Roman"/>
            <w:sz w:val="20"/>
            <w:szCs w:val="20"/>
            <w:shd w:val="clear" w:color="auto" w:fill="FFFFFF"/>
          </w:rPr>
          <m:t>t - φ(</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y</m:t>
            </m:r>
          </m:e>
          <m:sub>
            <m:r>
              <w:rPr>
                <w:rFonts w:ascii="Cambria Math" w:hAnsi="Cambria Math" w:cs="Times New Roman"/>
                <w:sz w:val="20"/>
                <w:szCs w:val="20"/>
                <w:shd w:val="clear" w:color="auto" w:fill="FFFFFF"/>
              </w:rPr>
              <m:t>t-1</m:t>
            </m:r>
          </m:sub>
        </m:sSub>
        <m:r>
          <w:rPr>
            <w:rFonts w:ascii="Cambria Math" w:hAnsi="Cambria Math" w:cs="Times New Roman"/>
            <w:sz w:val="20"/>
            <w:szCs w:val="20"/>
            <w:shd w:val="clear" w:color="auto" w:fill="FFFFFF"/>
          </w:rPr>
          <m:t xml:space="preserve"> - θ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x</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m:t>
        </m:r>
        <m:nary>
          <m:naryPr>
            <m:chr m:val="∑"/>
            <m:limLoc m:val="undOvr"/>
            <m:ctrlPr>
              <w:rPr>
                <w:rFonts w:ascii="Cambria Math" w:hAnsi="Cambria Math" w:cs="Times New Roman"/>
                <w:i/>
                <w:sz w:val="20"/>
                <w:szCs w:val="20"/>
                <w:shd w:val="clear" w:color="auto" w:fill="FFFFFF"/>
              </w:rPr>
            </m:ctrlPr>
          </m:naryPr>
          <m:sub>
            <m:r>
              <w:rPr>
                <w:rFonts w:ascii="Cambria Math" w:hAnsi="Cambria Math" w:cs="Times New Roman"/>
                <w:sz w:val="20"/>
                <w:szCs w:val="20"/>
                <w:shd w:val="clear" w:color="auto" w:fill="FFFFFF"/>
              </w:rPr>
              <m:t>j=1</m:t>
            </m:r>
          </m:sub>
          <m:sup>
            <m:r>
              <w:rPr>
                <w:rFonts w:ascii="Cambria Math" w:hAnsi="Cambria Math" w:cs="Times New Roman"/>
                <w:sz w:val="20"/>
                <w:szCs w:val="20"/>
                <w:shd w:val="clear" w:color="auto" w:fill="FFFFFF"/>
              </w:rPr>
              <m:t>p-1</m:t>
            </m:r>
          </m:sup>
          <m:e>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ψ</m:t>
                </m:r>
              </m:e>
              <m:sub>
                <m:r>
                  <w:rPr>
                    <w:rFonts w:ascii="Cambria Math" w:hAnsi="Cambria Math" w:cs="Times New Roman"/>
                    <w:sz w:val="20"/>
                    <w:szCs w:val="20"/>
                    <w:shd w:val="clear" w:color="auto" w:fill="FFFFFF"/>
                  </w:rPr>
                  <m:t>j</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y</m:t>
                </m:r>
              </m:e>
              <m:sub>
                <m:r>
                  <w:rPr>
                    <w:rFonts w:ascii="Cambria Math" w:hAnsi="Cambria Math" w:cs="Times New Roman"/>
                    <w:sz w:val="20"/>
                    <w:szCs w:val="20"/>
                    <w:shd w:val="clear" w:color="auto" w:fill="FFFFFF"/>
                  </w:rPr>
                  <m:t>t-1</m:t>
                </m:r>
              </m:sub>
            </m:sSub>
            <m:r>
              <w:rPr>
                <w:rFonts w:ascii="Cambria Math" w:hAnsi="Cambria Math" w:cs="Times New Roman"/>
                <w:sz w:val="20"/>
                <w:szCs w:val="20"/>
                <w:shd w:val="clear" w:color="auto" w:fill="FFFFFF"/>
              </w:rPr>
              <m:t xml:space="preserve"> + </m:t>
            </m:r>
            <m:nary>
              <m:naryPr>
                <m:chr m:val="∑"/>
                <m:limLoc m:val="undOvr"/>
                <m:ctrlPr>
                  <w:rPr>
                    <w:rFonts w:ascii="Cambria Math" w:hAnsi="Cambria Math" w:cs="Times New Roman"/>
                    <w:i/>
                    <w:sz w:val="20"/>
                    <w:szCs w:val="20"/>
                    <w:shd w:val="clear" w:color="auto" w:fill="FFFFFF"/>
                  </w:rPr>
                </m:ctrlPr>
              </m:naryPr>
              <m:sub>
                <m:r>
                  <w:rPr>
                    <w:rFonts w:ascii="Cambria Math" w:hAnsi="Cambria Math" w:cs="Times New Roman"/>
                    <w:sz w:val="20"/>
                    <w:szCs w:val="20"/>
                    <w:shd w:val="clear" w:color="auto" w:fill="FFFFFF"/>
                  </w:rPr>
                  <m:t>j=0</m:t>
                </m:r>
              </m:sub>
              <m:sup>
                <m:r>
                  <w:rPr>
                    <w:rFonts w:ascii="Cambria Math" w:hAnsi="Cambria Math" w:cs="Times New Roman"/>
                    <w:sz w:val="20"/>
                    <w:szCs w:val="20"/>
                    <w:shd w:val="clear" w:color="auto" w:fill="FFFFFF"/>
                  </w:rPr>
                  <m:t>q-1</m:t>
                </m:r>
              </m:sup>
              <m:e>
                <m:sSup>
                  <m:sSupPr>
                    <m:ctrlPr>
                      <w:rPr>
                        <w:rFonts w:ascii="Cambria Math" w:hAnsi="Cambria Math" w:cs="Times New Roman"/>
                        <w:i/>
                        <w:sz w:val="20"/>
                        <w:szCs w:val="20"/>
                        <w:shd w:val="clear" w:color="auto" w:fill="FFFFFF"/>
                      </w:rPr>
                    </m:ctrlPr>
                  </m:sSupPr>
                  <m:e>
                    <m:r>
                      <w:rPr>
                        <w:rFonts w:ascii="Cambria Math" w:hAnsi="Cambria Math" w:cs="Times New Roman"/>
                        <w:sz w:val="20"/>
                        <w:szCs w:val="20"/>
                        <w:shd w:val="clear" w:color="auto" w:fill="FFFFFF"/>
                      </w:rPr>
                      <m:t>ω</m:t>
                    </m:r>
                  </m:e>
                  <m:sup>
                    <m:r>
                      <w:rPr>
                        <w:rFonts w:ascii="Cambria Math" w:hAnsi="Cambria Math" w:cs="Times New Roman"/>
                        <w:sz w:val="20"/>
                        <w:szCs w:val="20"/>
                        <w:shd w:val="clear" w:color="auto" w:fill="FFFFFF"/>
                      </w:rPr>
                      <m:t>'</m:t>
                    </m:r>
                  </m:sup>
                </m:sSup>
                <m:r>
                  <w:rPr>
                    <w:rFonts w:ascii="Cambria Math" w:hAnsi="Cambria Math" w:cs="Times New Roman"/>
                    <w:sz w:val="20"/>
                    <w:szCs w:val="20"/>
                    <w:shd w:val="clear" w:color="auto" w:fill="FFFFFF"/>
                  </w:rPr>
                  <m:t xml:space="preserve"> </m:t>
                </m:r>
                <m:r>
                  <m:rPr>
                    <m:sty m:val="p"/>
                  </m:rPr>
                  <w:rPr>
                    <w:rFonts w:ascii="Cambria Math" w:hAnsi="Cambria Math" w:cs="Times New Roman"/>
                    <w:sz w:val="20"/>
                    <w:szCs w:val="20"/>
                    <w:shd w:val="clear" w:color="auto" w:fill="FFFFFF"/>
                  </w:rPr>
                  <m:t>Δ</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x</m:t>
                    </m:r>
                  </m:e>
                  <m:sub>
                    <m:r>
                      <w:rPr>
                        <w:rFonts w:ascii="Cambria Math" w:hAnsi="Cambria Math" w:cs="Times New Roman"/>
                        <w:sz w:val="20"/>
                        <w:szCs w:val="20"/>
                        <w:shd w:val="clear" w:color="auto" w:fill="FFFFFF"/>
                      </w:rPr>
                      <m:t>t-n</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ε</m:t>
                    </m:r>
                  </m:e>
                  <m:sub>
                    <m:r>
                      <w:rPr>
                        <w:rFonts w:ascii="Cambria Math" w:hAnsi="Cambria Math" w:cs="Times New Roman"/>
                        <w:sz w:val="20"/>
                        <w:szCs w:val="20"/>
                        <w:shd w:val="clear" w:color="auto" w:fill="FFFFFF"/>
                      </w:rPr>
                      <m:t>t</m:t>
                    </m:r>
                  </m:sub>
                </m:sSub>
              </m:e>
            </m:nary>
          </m:e>
        </m:nary>
      </m:oMath>
      <w:r w:rsidR="000854E4" w:rsidRPr="004B7B66">
        <w:rPr>
          <w:rFonts w:ascii="Times New Roman" w:hAnsi="Times New Roman" w:cs="Times New Roman"/>
          <w:sz w:val="20"/>
          <w:szCs w:val="20"/>
          <w:shd w:val="clear" w:color="auto" w:fill="FFFFFF"/>
        </w:rPr>
        <w:t xml:space="preserve">            </w:t>
      </w:r>
      <w:r w:rsidR="00293371">
        <w:rPr>
          <w:rFonts w:ascii="Times New Roman" w:hAnsi="Times New Roman" w:cs="Times New Roman"/>
          <w:sz w:val="20"/>
          <w:szCs w:val="20"/>
          <w:shd w:val="clear" w:color="auto" w:fill="FFFFFF"/>
        </w:rPr>
        <w:t xml:space="preserve">                           </w:t>
      </w:r>
      <w:r w:rsidR="000854E4" w:rsidRPr="004B7B66">
        <w:rPr>
          <w:rFonts w:ascii="Times New Roman" w:hAnsi="Times New Roman" w:cs="Times New Roman"/>
          <w:sz w:val="20"/>
          <w:szCs w:val="20"/>
          <w:shd w:val="clear" w:color="auto" w:fill="FFFFFF"/>
        </w:rPr>
        <w:t>(7)</w:t>
      </w:r>
    </w:p>
    <w:p w14:paraId="316A0CC0" w14:textId="656DB7F5" w:rsidR="000854E4" w:rsidRPr="004B7B66" w:rsidRDefault="000854E4" w:rsidP="00776F87">
      <w:pPr>
        <w:spacing w:after="0" w:line="240" w:lineRule="auto"/>
        <w:ind w:firstLine="284"/>
        <w:jc w:val="both"/>
        <w:rPr>
          <w:rFonts w:ascii="Times New Roman" w:hAnsi="Times New Roman" w:cs="Times New Roman"/>
          <w:sz w:val="20"/>
          <w:szCs w:val="20"/>
          <w:shd w:val="clear" w:color="auto" w:fill="FFFFFF"/>
        </w:rPr>
      </w:pPr>
      <w:r w:rsidRPr="004B7B66">
        <w:rPr>
          <w:rFonts w:ascii="Times New Roman" w:hAnsi="Times New Roman" w:cs="Times New Roman"/>
          <w:sz w:val="20"/>
          <w:szCs w:val="20"/>
          <w:shd w:val="clear" w:color="auto" w:fill="FFFFFF"/>
        </w:rPr>
        <w:t xml:space="preserve">Where  </w:t>
      </w:r>
      <m:oMath>
        <m:r>
          <w:rPr>
            <w:rFonts w:ascii="Cambria Math" w:hAnsi="Cambria Math" w:cs="Times New Roman"/>
            <w:sz w:val="20"/>
            <w:szCs w:val="20"/>
            <w:shd w:val="clear" w:color="auto" w:fill="FFFFFF"/>
          </w:rPr>
          <m:t>φ = 1-</m:t>
        </m:r>
        <m:nary>
          <m:naryPr>
            <m:chr m:val="∑"/>
            <m:limLoc m:val="subSup"/>
            <m:ctrlPr>
              <w:rPr>
                <w:rFonts w:ascii="Cambria Math" w:hAnsi="Cambria Math" w:cs="Times New Roman"/>
                <w:i/>
                <w:sz w:val="20"/>
                <w:szCs w:val="20"/>
                <w:shd w:val="clear" w:color="auto" w:fill="FFFFFF"/>
              </w:rPr>
            </m:ctrlPr>
          </m:naryPr>
          <m:sub>
            <m:r>
              <w:rPr>
                <w:rFonts w:ascii="Cambria Math" w:hAnsi="Cambria Math" w:cs="Times New Roman"/>
                <w:sz w:val="20"/>
                <w:szCs w:val="20"/>
                <w:shd w:val="clear" w:color="auto" w:fill="FFFFFF"/>
              </w:rPr>
              <m:t>k=1</m:t>
            </m:r>
          </m:sub>
          <m:sup>
            <m:r>
              <w:rPr>
                <w:rFonts w:ascii="Cambria Math" w:hAnsi="Cambria Math" w:cs="Times New Roman"/>
                <w:sz w:val="20"/>
                <w:szCs w:val="20"/>
                <w:shd w:val="clear" w:color="auto" w:fill="FFFFFF"/>
              </w:rPr>
              <m:t>p</m:t>
            </m:r>
          </m:sup>
          <m:e>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γ</m:t>
                </m:r>
              </m:e>
              <m:sub>
                <m:r>
                  <w:rPr>
                    <w:rFonts w:ascii="Cambria Math" w:hAnsi="Cambria Math" w:cs="Times New Roman"/>
                    <w:sz w:val="20"/>
                    <w:szCs w:val="20"/>
                    <w:shd w:val="clear" w:color="auto" w:fill="FFFFFF"/>
                  </w:rPr>
                  <m:t>n</m:t>
                </m:r>
              </m:sub>
            </m:sSub>
          </m:e>
        </m:nary>
        <m:r>
          <w:rPr>
            <w:rFonts w:ascii="Cambria Math" w:hAnsi="Cambria Math" w:cs="Times New Roman"/>
            <w:sz w:val="20"/>
            <w:szCs w:val="20"/>
            <w:shd w:val="clear" w:color="auto" w:fill="FFFFFF"/>
          </w:rPr>
          <m:t xml:space="preserve"> </m:t>
        </m:r>
      </m:oMath>
      <w:r w:rsidRPr="004B7B66">
        <w:rPr>
          <w:rFonts w:ascii="Times New Roman" w:hAnsi="Times New Roman" w:cs="Times New Roman"/>
          <w:sz w:val="20"/>
          <w:szCs w:val="20"/>
          <w:shd w:val="clear" w:color="auto" w:fill="FFFFFF"/>
        </w:rPr>
        <w:t xml:space="preserve"> represents the speed of adjustment and </w:t>
      </w:r>
      <m:oMath>
        <m:r>
          <w:rPr>
            <w:rFonts w:ascii="Cambria Math" w:hAnsi="Cambria Math" w:cs="Times New Roman"/>
            <w:sz w:val="20"/>
            <w:szCs w:val="20"/>
            <w:shd w:val="clear" w:color="auto" w:fill="FFFFFF"/>
          </w:rPr>
          <m:t>θ=</m:t>
        </m:r>
        <m:f>
          <m:fPr>
            <m:ctrlPr>
              <w:rPr>
                <w:rFonts w:ascii="Cambria Math" w:hAnsi="Cambria Math" w:cs="Times New Roman"/>
                <w:i/>
                <w:sz w:val="20"/>
                <w:szCs w:val="20"/>
                <w:shd w:val="clear" w:color="auto" w:fill="FFFFFF"/>
              </w:rPr>
            </m:ctrlPr>
          </m:fPr>
          <m:num>
            <m:nary>
              <m:naryPr>
                <m:chr m:val="∑"/>
                <m:limLoc m:val="subSup"/>
                <m:ctrlPr>
                  <w:rPr>
                    <w:rFonts w:ascii="Cambria Math" w:hAnsi="Cambria Math" w:cs="Times New Roman"/>
                    <w:i/>
                    <w:sz w:val="20"/>
                    <w:szCs w:val="20"/>
                    <w:shd w:val="clear" w:color="auto" w:fill="FFFFFF"/>
                  </w:rPr>
                </m:ctrlPr>
              </m:naryPr>
              <m:sub>
                <m:r>
                  <w:rPr>
                    <w:rFonts w:ascii="Cambria Math" w:hAnsi="Cambria Math" w:cs="Times New Roman"/>
                    <w:sz w:val="20"/>
                    <w:szCs w:val="20"/>
                    <w:shd w:val="clear" w:color="auto" w:fill="FFFFFF"/>
                  </w:rPr>
                  <m:t>k=0</m:t>
                </m:r>
              </m:sub>
              <m:sup>
                <m:r>
                  <w:rPr>
                    <w:rFonts w:ascii="Cambria Math" w:hAnsi="Cambria Math" w:cs="Times New Roman"/>
                    <w:sz w:val="20"/>
                    <w:szCs w:val="20"/>
                    <w:shd w:val="clear" w:color="auto" w:fill="FFFFFF"/>
                  </w:rPr>
                  <m:t>q</m:t>
                </m:r>
              </m:sup>
              <m:e>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β</m:t>
                    </m:r>
                  </m:e>
                  <m:sub>
                    <m:r>
                      <w:rPr>
                        <w:rFonts w:ascii="Cambria Math" w:hAnsi="Cambria Math" w:cs="Times New Roman"/>
                        <w:sz w:val="20"/>
                        <w:szCs w:val="20"/>
                        <w:shd w:val="clear" w:color="auto" w:fill="FFFFFF"/>
                      </w:rPr>
                      <m:t>k</m:t>
                    </m:r>
                  </m:sub>
                </m:sSub>
              </m:e>
            </m:nary>
          </m:num>
          <m:den>
            <m:r>
              <w:rPr>
                <w:rFonts w:ascii="Cambria Math" w:hAnsi="Cambria Math" w:cs="Times New Roman"/>
                <w:sz w:val="20"/>
                <w:szCs w:val="20"/>
                <w:shd w:val="clear" w:color="auto" w:fill="FFFFFF"/>
              </w:rPr>
              <m:t>φ</m:t>
            </m:r>
          </m:den>
        </m:f>
      </m:oMath>
      <w:r w:rsidRPr="004B7B66">
        <w:rPr>
          <w:rFonts w:ascii="Times New Roman" w:hAnsi="Times New Roman" w:cs="Times New Roman"/>
          <w:sz w:val="20"/>
          <w:szCs w:val="20"/>
          <w:shd w:val="clear" w:color="auto" w:fill="FFFFFF"/>
        </w:rPr>
        <w:t xml:space="preserve">  denotes the long-run coefficients. </w:t>
      </w:r>
    </w:p>
    <w:p w14:paraId="4C77F9CA" w14:textId="55F3D841" w:rsidR="000854E4" w:rsidRPr="004B7B66" w:rsidRDefault="000854E4" w:rsidP="00776F87">
      <w:pPr>
        <w:spacing w:after="0" w:line="240" w:lineRule="auto"/>
        <w:ind w:firstLine="284"/>
        <w:jc w:val="both"/>
        <w:rPr>
          <w:rFonts w:ascii="Times New Roman" w:hAnsi="Times New Roman" w:cs="Times New Roman"/>
          <w:sz w:val="20"/>
          <w:szCs w:val="20"/>
          <w:shd w:val="clear" w:color="auto" w:fill="FFFFFF"/>
        </w:rPr>
      </w:pPr>
      <w:bookmarkStart w:id="8" w:name="ThusE8"/>
      <w:r w:rsidRPr="004B7B66">
        <w:rPr>
          <w:rFonts w:ascii="Times New Roman" w:hAnsi="Times New Roman" w:cs="Times New Roman"/>
          <w:sz w:val="20"/>
          <w:szCs w:val="20"/>
          <w:shd w:val="clear" w:color="auto" w:fill="FFFFFF"/>
        </w:rPr>
        <w:t>Thus</w:t>
      </w:r>
      <w:bookmarkEnd w:id="8"/>
      <w:r w:rsidRPr="004B7B66">
        <w:rPr>
          <w:rFonts w:ascii="Times New Roman" w:hAnsi="Times New Roman" w:cs="Times New Roman"/>
          <w:sz w:val="20"/>
          <w:szCs w:val="20"/>
          <w:shd w:val="clear" w:color="auto" w:fill="FFFFFF"/>
        </w:rPr>
        <w:t>, the</w:t>
      </w:r>
      <w:r w:rsidR="00141790">
        <w:rPr>
          <w:rFonts w:ascii="Times New Roman" w:hAnsi="Times New Roman" w:cs="Times New Roman"/>
          <w:sz w:val="20"/>
          <w:szCs w:val="20"/>
          <w:shd w:val="clear" w:color="auto" w:fill="FFFFFF"/>
        </w:rPr>
        <w:t xml:space="preserve"> </w:t>
      </w:r>
      <w:r w:rsidRPr="004B7B66">
        <w:rPr>
          <w:rFonts w:ascii="Times New Roman" w:hAnsi="Times New Roman" w:cs="Times New Roman"/>
          <w:sz w:val="20"/>
          <w:szCs w:val="20"/>
          <w:shd w:val="clear" w:color="auto" w:fill="FFFFFF"/>
        </w:rPr>
        <w:t xml:space="preserve">model in </w:t>
      </w:r>
      <w:hyperlink w:anchor="longE5" w:history="1">
        <w:r w:rsidR="002A4903" w:rsidRPr="002A4903">
          <w:rPr>
            <w:rStyle w:val="Hyperlink"/>
            <w:rFonts w:ascii="Times New Roman" w:hAnsi="Times New Roman" w:cs="Times New Roman"/>
            <w:sz w:val="20"/>
            <w:szCs w:val="20"/>
            <w:u w:val="none"/>
            <w:shd w:val="clear" w:color="auto" w:fill="FFFFFF"/>
          </w:rPr>
          <w:t>E</w:t>
        </w:r>
        <w:r w:rsidRPr="002A4903">
          <w:rPr>
            <w:rStyle w:val="Hyperlink"/>
            <w:rFonts w:ascii="Times New Roman" w:hAnsi="Times New Roman" w:cs="Times New Roman"/>
            <w:sz w:val="20"/>
            <w:szCs w:val="20"/>
            <w:u w:val="none"/>
            <w:shd w:val="clear" w:color="auto" w:fill="FFFFFF"/>
          </w:rPr>
          <w:t>q</w:t>
        </w:r>
        <w:r w:rsidR="002A4903" w:rsidRPr="002A4903">
          <w:rPr>
            <w:rStyle w:val="Hyperlink"/>
            <w:rFonts w:ascii="Times New Roman" w:hAnsi="Times New Roman" w:cs="Times New Roman"/>
            <w:sz w:val="20"/>
            <w:szCs w:val="20"/>
            <w:u w:val="none"/>
            <w:shd w:val="clear" w:color="auto" w:fill="FFFFFF"/>
          </w:rPr>
          <w:t>uation</w:t>
        </w:r>
        <w:r w:rsidRPr="002A4903">
          <w:rPr>
            <w:rStyle w:val="Hyperlink"/>
            <w:rFonts w:ascii="Times New Roman" w:hAnsi="Times New Roman" w:cs="Times New Roman"/>
            <w:sz w:val="20"/>
            <w:szCs w:val="20"/>
            <w:u w:val="none"/>
            <w:shd w:val="clear" w:color="auto" w:fill="FFFFFF"/>
          </w:rPr>
          <w:t xml:space="preserve"> </w:t>
        </w:r>
        <w:r w:rsidR="002A4903" w:rsidRPr="002A4903">
          <w:rPr>
            <w:rStyle w:val="Hyperlink"/>
            <w:rFonts w:ascii="Times New Roman" w:hAnsi="Times New Roman" w:cs="Times New Roman"/>
            <w:sz w:val="20"/>
            <w:szCs w:val="20"/>
            <w:u w:val="none"/>
            <w:shd w:val="clear" w:color="auto" w:fill="FFFFFF"/>
          </w:rPr>
          <w:t>5</w:t>
        </w:r>
      </w:hyperlink>
      <w:r w:rsidRPr="004B7B66">
        <w:rPr>
          <w:rFonts w:ascii="Times New Roman" w:hAnsi="Times New Roman" w:cs="Times New Roman"/>
          <w:sz w:val="20"/>
          <w:szCs w:val="20"/>
          <w:shd w:val="clear" w:color="auto" w:fill="FFFFFF"/>
        </w:rPr>
        <w:t xml:space="preserve"> becomes:</w:t>
      </w:r>
    </w:p>
    <w:p w14:paraId="5AC31DCE" w14:textId="080095EE" w:rsidR="00141790" w:rsidRDefault="001E7704" w:rsidP="00141790">
      <w:pPr>
        <w:spacing w:after="0" w:line="240" w:lineRule="auto"/>
        <w:ind w:left="284"/>
        <w:jc w:val="center"/>
        <w:rPr>
          <w:rFonts w:ascii="Times New Roman" w:hAnsi="Times New Roman" w:cs="Times New Roman"/>
          <w:sz w:val="20"/>
          <w:szCs w:val="20"/>
          <w:shd w:val="clear" w:color="auto" w:fill="FFFFFF"/>
        </w:rPr>
      </w:pPr>
      <m:oMath>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Δ ERvol</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α</m:t>
            </m:r>
          </m:e>
          <m:sub>
            <m:r>
              <w:rPr>
                <w:rFonts w:ascii="Cambria Math" w:hAnsi="Cambria Math" w:cs="Times New Roman"/>
                <w:sz w:val="20"/>
                <w:szCs w:val="20"/>
                <w:shd w:val="clear" w:color="auto" w:fill="FFFFFF"/>
              </w:rPr>
              <m:t>0</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α</m:t>
            </m:r>
          </m:e>
          <m:sub>
            <m:r>
              <w:rPr>
                <w:rFonts w:ascii="Cambria Math" w:hAnsi="Cambria Math" w:cs="Times New Roman"/>
                <w:sz w:val="20"/>
                <w:szCs w:val="20"/>
                <w:shd w:val="clear" w:color="auto" w:fill="FFFFFF"/>
              </w:rPr>
              <m:t>1</m:t>
            </m:r>
          </m:sub>
        </m:sSub>
        <m:r>
          <w:rPr>
            <w:rFonts w:ascii="Cambria Math" w:hAnsi="Cambria Math" w:cs="Times New Roman"/>
            <w:sz w:val="20"/>
            <w:szCs w:val="20"/>
            <w:shd w:val="clear" w:color="auto" w:fill="FFFFFF"/>
          </w:rPr>
          <m:t xml:space="preserve">Δ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CBrate</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β</m:t>
            </m:r>
          </m:e>
          <m:sub>
            <m:r>
              <w:rPr>
                <w:rFonts w:ascii="Cambria Math" w:hAnsi="Cambria Math" w:cs="Times New Roman"/>
                <w:sz w:val="20"/>
                <w:szCs w:val="20"/>
                <w:shd w:val="clear" w:color="auto" w:fill="FFFFFF"/>
              </w:rPr>
              <m:t>1</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CBrate</m:t>
            </m:r>
          </m:e>
          <m:sub>
            <m:r>
              <w:rPr>
                <w:rFonts w:ascii="Cambria Math" w:hAnsi="Cambria Math" w:cs="Times New Roman"/>
                <w:sz w:val="20"/>
                <w:szCs w:val="20"/>
                <w:shd w:val="clear" w:color="auto" w:fill="FFFFFF"/>
              </w:rPr>
              <m:t>t-1</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α</m:t>
            </m:r>
          </m:e>
          <m:sub>
            <m:r>
              <w:rPr>
                <w:rFonts w:ascii="Cambria Math" w:hAnsi="Cambria Math" w:cs="Times New Roman"/>
                <w:sz w:val="20"/>
                <w:szCs w:val="20"/>
                <w:shd w:val="clear" w:color="auto" w:fill="FFFFFF"/>
              </w:rPr>
              <m:t>2</m:t>
            </m:r>
          </m:sub>
        </m:sSub>
        <m:r>
          <w:rPr>
            <w:rFonts w:ascii="Cambria Math" w:hAnsi="Cambria Math" w:cs="Times New Roman"/>
            <w:sz w:val="20"/>
            <w:szCs w:val="20"/>
            <w:shd w:val="clear" w:color="auto" w:fill="FFFFFF"/>
          </w:rPr>
          <m:t xml:space="preserve">Δ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Output Gap</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β</m:t>
            </m:r>
          </m:e>
          <m:sub>
            <m:r>
              <w:rPr>
                <w:rFonts w:ascii="Cambria Math" w:hAnsi="Cambria Math" w:cs="Times New Roman"/>
                <w:sz w:val="20"/>
                <w:szCs w:val="20"/>
                <w:shd w:val="clear" w:color="auto" w:fill="FFFFFF"/>
              </w:rPr>
              <m:t>2</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Output Gap</m:t>
            </m:r>
          </m:e>
          <m:sub>
            <m:r>
              <w:rPr>
                <w:rFonts w:ascii="Cambria Math" w:hAnsi="Cambria Math" w:cs="Times New Roman"/>
                <w:sz w:val="20"/>
                <w:szCs w:val="20"/>
                <w:shd w:val="clear" w:color="auto" w:fill="FFFFFF"/>
              </w:rPr>
              <m:t>t-1</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α</m:t>
            </m:r>
          </m:e>
          <m:sub>
            <m:r>
              <w:rPr>
                <w:rFonts w:ascii="Cambria Math" w:hAnsi="Cambria Math" w:cs="Times New Roman"/>
                <w:sz w:val="20"/>
                <w:szCs w:val="20"/>
                <w:shd w:val="clear" w:color="auto" w:fill="FFFFFF"/>
              </w:rPr>
              <m:t>3</m:t>
            </m:r>
          </m:sub>
        </m:sSub>
        <m:r>
          <w:rPr>
            <w:rFonts w:ascii="Cambria Math" w:hAnsi="Cambria Math" w:cs="Times New Roman"/>
            <w:sz w:val="20"/>
            <w:szCs w:val="20"/>
            <w:shd w:val="clear" w:color="auto" w:fill="FFFFFF"/>
          </w:rPr>
          <m:t xml:space="preserve">Δ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Money per GDP</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β</m:t>
            </m:r>
          </m:e>
          <m:sub>
            <m:r>
              <w:rPr>
                <w:rFonts w:ascii="Cambria Math" w:hAnsi="Cambria Math" w:cs="Times New Roman"/>
                <w:sz w:val="20"/>
                <w:szCs w:val="20"/>
                <w:shd w:val="clear" w:color="auto" w:fill="FFFFFF"/>
              </w:rPr>
              <m:t>3</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Money per GDP</m:t>
            </m:r>
          </m:e>
          <m:sub>
            <m:r>
              <w:rPr>
                <w:rFonts w:ascii="Cambria Math" w:hAnsi="Cambria Math" w:cs="Times New Roman"/>
                <w:sz w:val="20"/>
                <w:szCs w:val="20"/>
                <w:shd w:val="clear" w:color="auto" w:fill="FFFFFF"/>
              </w:rPr>
              <m:t>t-1</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α</m:t>
            </m:r>
          </m:e>
          <m:sub>
            <m:r>
              <w:rPr>
                <w:rFonts w:ascii="Cambria Math" w:hAnsi="Cambria Math" w:cs="Times New Roman"/>
                <w:sz w:val="20"/>
                <w:szCs w:val="20"/>
                <w:shd w:val="clear" w:color="auto" w:fill="FFFFFF"/>
              </w:rPr>
              <m:t>4</m:t>
            </m:r>
          </m:sub>
        </m:sSub>
        <m:r>
          <w:rPr>
            <w:rFonts w:ascii="Cambria Math" w:hAnsi="Cambria Math" w:cs="Times New Roman"/>
            <w:sz w:val="20"/>
            <w:szCs w:val="20"/>
            <w:shd w:val="clear" w:color="auto" w:fill="FFFFFF"/>
          </w:rPr>
          <m:t xml:space="preserve">Δ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Credit Gap</m:t>
            </m:r>
          </m:e>
          <m:sub>
            <m:r>
              <w:rPr>
                <w:rFonts w:ascii="Cambria Math" w:hAnsi="Cambria Math" w:cs="Times New Roman"/>
                <w:sz w:val="20"/>
                <w:szCs w:val="20"/>
                <w:shd w:val="clear" w:color="auto" w:fill="FFFFFF"/>
              </w:rPr>
              <m:t>t</m:t>
            </m:r>
          </m:sub>
        </m:sSub>
        <m:r>
          <w:rPr>
            <w:rFonts w:ascii="Cambria Math" w:hAnsi="Cambria Math" w:cs="Times New Roman"/>
            <w:sz w:val="20"/>
            <w:szCs w:val="20"/>
            <w:shd w:val="clear" w:color="auto" w:fill="FFFFFF"/>
          </w:rPr>
          <m:t xml:space="preserve"> +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β</m:t>
            </m:r>
          </m:e>
          <m:sub>
            <m:r>
              <w:rPr>
                <w:rFonts w:ascii="Cambria Math" w:hAnsi="Cambria Math" w:cs="Times New Roman"/>
                <w:sz w:val="20"/>
                <w:szCs w:val="20"/>
                <w:shd w:val="clear" w:color="auto" w:fill="FFFFFF"/>
              </w:rPr>
              <m:t>4</m:t>
            </m:r>
          </m:sub>
        </m:sSub>
        <m:r>
          <w:rPr>
            <w:rFonts w:ascii="Cambria Math" w:hAnsi="Cambria Math" w:cs="Times New Roman"/>
            <w:sz w:val="20"/>
            <w:szCs w:val="20"/>
            <w:shd w:val="clear" w:color="auto" w:fill="FFFFFF"/>
          </w:rPr>
          <m:t xml:space="preserve"> </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Credit Gap</m:t>
            </m:r>
          </m:e>
          <m:sub>
            <m:r>
              <w:rPr>
                <w:rFonts w:ascii="Cambria Math" w:hAnsi="Cambria Math" w:cs="Times New Roman"/>
                <w:sz w:val="20"/>
                <w:szCs w:val="20"/>
                <w:shd w:val="clear" w:color="auto" w:fill="FFFFFF"/>
              </w:rPr>
              <m:t>t-1</m:t>
            </m:r>
          </m:sub>
        </m:sSub>
        <m:r>
          <w:rPr>
            <w:rFonts w:ascii="Cambria Math" w:hAnsi="Cambria Math" w:cs="Times New Roman"/>
            <w:sz w:val="20"/>
            <w:szCs w:val="20"/>
            <w:shd w:val="clear" w:color="auto" w:fill="FFFFFF"/>
          </w:rPr>
          <m:t>+φ</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 xml:space="preserve"> ERvol</m:t>
            </m:r>
          </m:e>
          <m:sub>
            <m:r>
              <w:rPr>
                <w:rFonts w:ascii="Cambria Math" w:hAnsi="Cambria Math" w:cs="Times New Roman"/>
                <w:sz w:val="20"/>
                <w:szCs w:val="20"/>
                <w:shd w:val="clear" w:color="auto" w:fill="FFFFFF"/>
              </w:rPr>
              <m:t>t-1</m:t>
            </m:r>
          </m:sub>
        </m:sSub>
        <m:r>
          <w:rPr>
            <w:rFonts w:ascii="Cambria Math" w:hAnsi="Cambria Math" w:cs="Times New Roman"/>
            <w:sz w:val="20"/>
            <w:szCs w:val="20"/>
            <w:shd w:val="clear" w:color="auto" w:fill="FFFFFF"/>
          </w:rPr>
          <m:t>+</m:t>
        </m:r>
        <m:sSub>
          <m:sSubPr>
            <m:ctrlPr>
              <w:rPr>
                <w:rFonts w:ascii="Cambria Math" w:hAnsi="Cambria Math" w:cs="Times New Roman"/>
                <w:i/>
                <w:sz w:val="20"/>
                <w:szCs w:val="20"/>
                <w:shd w:val="clear" w:color="auto" w:fill="FFFFFF"/>
              </w:rPr>
            </m:ctrlPr>
          </m:sSubPr>
          <m:e>
            <m:r>
              <w:rPr>
                <w:rFonts w:ascii="Cambria Math" w:hAnsi="Cambria Math" w:cs="Times New Roman"/>
                <w:sz w:val="20"/>
                <w:szCs w:val="20"/>
                <w:shd w:val="clear" w:color="auto" w:fill="FFFFFF"/>
              </w:rPr>
              <m:t>ε</m:t>
            </m:r>
          </m:e>
          <m:sub>
            <m:r>
              <w:rPr>
                <w:rFonts w:ascii="Cambria Math" w:hAnsi="Cambria Math" w:cs="Times New Roman"/>
                <w:sz w:val="20"/>
                <w:szCs w:val="20"/>
                <w:shd w:val="clear" w:color="auto" w:fill="FFFFFF"/>
              </w:rPr>
              <m:t>t</m:t>
            </m:r>
          </m:sub>
        </m:sSub>
      </m:oMath>
      <w:r w:rsidR="000854E4" w:rsidRPr="004B7B66">
        <w:rPr>
          <w:rFonts w:ascii="Times New Roman" w:hAnsi="Times New Roman" w:cs="Times New Roman"/>
          <w:sz w:val="20"/>
          <w:szCs w:val="20"/>
          <w:shd w:val="clear" w:color="auto" w:fill="FFFFFF"/>
        </w:rPr>
        <w:t xml:space="preserve"> (8)</w:t>
      </w:r>
    </w:p>
    <w:p w14:paraId="2907D508" w14:textId="474EF459" w:rsidR="00141790" w:rsidRPr="004B7B66" w:rsidRDefault="001E7704" w:rsidP="00141790">
      <w:pPr>
        <w:spacing w:after="0" w:line="240" w:lineRule="auto"/>
        <w:jc w:val="both"/>
        <w:rPr>
          <w:rFonts w:ascii="Times New Roman" w:hAnsi="Times New Roman" w:cs="Times New Roman"/>
          <w:sz w:val="20"/>
          <w:szCs w:val="20"/>
          <w:shd w:val="clear" w:color="auto" w:fill="FFFFFF"/>
        </w:rPr>
      </w:pPr>
      <w:hyperlink w:anchor="ThusE8" w:history="1">
        <w:r w:rsidR="00166854" w:rsidRPr="00166854">
          <w:rPr>
            <w:rStyle w:val="Hyperlink"/>
            <w:rFonts w:ascii="Times New Roman" w:hAnsi="Times New Roman" w:cs="Times New Roman"/>
            <w:sz w:val="20"/>
            <w:szCs w:val="20"/>
            <w:u w:val="none"/>
            <w:shd w:val="clear" w:color="auto" w:fill="FFFFFF"/>
          </w:rPr>
          <w:t xml:space="preserve">Equation </w:t>
        </w:r>
        <w:r w:rsidR="00141790" w:rsidRPr="00166854">
          <w:rPr>
            <w:rStyle w:val="Hyperlink"/>
            <w:rFonts w:ascii="Times New Roman" w:hAnsi="Times New Roman" w:cs="Times New Roman"/>
            <w:sz w:val="20"/>
            <w:szCs w:val="20"/>
            <w:u w:val="none"/>
            <w:shd w:val="clear" w:color="auto" w:fill="FFFFFF"/>
          </w:rPr>
          <w:t>8</w:t>
        </w:r>
      </w:hyperlink>
      <w:r w:rsidR="00141790">
        <w:rPr>
          <w:rFonts w:ascii="Times New Roman" w:hAnsi="Times New Roman" w:cs="Times New Roman"/>
          <w:sz w:val="20"/>
          <w:szCs w:val="20"/>
          <w:shd w:val="clear" w:color="auto" w:fill="FFFFFF"/>
        </w:rPr>
        <w:t xml:space="preserve"> presents the ARDL model in this study after </w:t>
      </w:r>
      <w:r w:rsidR="00DB6AC4">
        <w:rPr>
          <w:rFonts w:ascii="Times New Roman" w:hAnsi="Times New Roman" w:cs="Times New Roman"/>
          <w:sz w:val="20"/>
          <w:szCs w:val="20"/>
          <w:shd w:val="clear" w:color="auto" w:fill="FFFFFF"/>
        </w:rPr>
        <w:t xml:space="preserve">including </w:t>
      </w:r>
      <w:r w:rsidR="00141790">
        <w:rPr>
          <w:rFonts w:ascii="Times New Roman" w:hAnsi="Times New Roman" w:cs="Times New Roman"/>
          <w:sz w:val="20"/>
          <w:szCs w:val="20"/>
          <w:shd w:val="clear" w:color="auto" w:fill="FFFFFF"/>
        </w:rPr>
        <w:t>all variables</w:t>
      </w:r>
    </w:p>
    <w:p w14:paraId="336098AF" w14:textId="77777777" w:rsidR="000854E4" w:rsidRPr="004B7B66" w:rsidRDefault="000854E4" w:rsidP="00776F87">
      <w:pPr>
        <w:pStyle w:val="005ChapterHigh"/>
      </w:pPr>
    </w:p>
    <w:p w14:paraId="1BCE451F" w14:textId="3404F093" w:rsidR="000854E4" w:rsidRPr="004B7B66" w:rsidRDefault="009A132C" w:rsidP="00776F87">
      <w:pPr>
        <w:pStyle w:val="005ChapterHigh"/>
      </w:pPr>
      <w:r>
        <w:t xml:space="preserve">4. </w:t>
      </w:r>
      <w:r w:rsidRPr="004B7B66">
        <w:t>Empirical Results and Discussion</w:t>
      </w:r>
    </w:p>
    <w:p w14:paraId="533E7E0B" w14:textId="738979A4" w:rsidR="000854E4" w:rsidRPr="009A132C" w:rsidRDefault="009A132C" w:rsidP="009A132C">
      <w:pPr>
        <w:tabs>
          <w:tab w:val="left" w:pos="284"/>
        </w:tabs>
        <w:kinsoku w:val="0"/>
        <w:overflowPunct w:val="0"/>
        <w:autoSpaceDE w:val="0"/>
        <w:autoSpaceDN w:val="0"/>
        <w:spacing w:after="0" w:line="240" w:lineRule="auto"/>
        <w:jc w:val="both"/>
        <w:rPr>
          <w:rFonts w:ascii="Times New Roman" w:eastAsia="Palatino Linotype" w:hAnsi="Times New Roman" w:cs="Times New Roman"/>
          <w:i/>
          <w:iCs/>
          <w:sz w:val="20"/>
          <w:szCs w:val="20"/>
        </w:rPr>
      </w:pPr>
      <w:r w:rsidRPr="009A132C">
        <w:rPr>
          <w:rFonts w:ascii="Times New Roman" w:eastAsia="Palatino Linotype" w:hAnsi="Times New Roman" w:cs="Times New Roman"/>
          <w:i/>
          <w:iCs/>
          <w:sz w:val="20"/>
          <w:szCs w:val="20"/>
        </w:rPr>
        <w:t xml:space="preserve">4.1. </w:t>
      </w:r>
      <w:r w:rsidR="000854E4" w:rsidRPr="009A132C">
        <w:rPr>
          <w:rFonts w:ascii="Times New Roman" w:eastAsia="Palatino Linotype" w:hAnsi="Times New Roman" w:cs="Times New Roman"/>
          <w:i/>
          <w:iCs/>
          <w:sz w:val="20"/>
          <w:szCs w:val="20"/>
        </w:rPr>
        <w:t>Descriptive Statistics</w:t>
      </w:r>
    </w:p>
    <w:p w14:paraId="1F764649" w14:textId="3B00C509" w:rsidR="000854E4" w:rsidRPr="004B7B66" w:rsidRDefault="001E7704" w:rsidP="009A132C">
      <w:pPr>
        <w:spacing w:after="0" w:line="240" w:lineRule="auto"/>
        <w:ind w:firstLine="360"/>
        <w:jc w:val="both"/>
        <w:rPr>
          <w:rFonts w:ascii="Times New Roman" w:hAnsi="Times New Roman" w:cs="Times New Roman"/>
          <w:sz w:val="20"/>
          <w:szCs w:val="20"/>
          <w:shd w:val="clear" w:color="auto" w:fill="FFFFFF"/>
        </w:rPr>
      </w:pPr>
      <w:hyperlink w:anchor="Table1" w:history="1">
        <w:r w:rsidR="000854E4" w:rsidRPr="005260BF">
          <w:rPr>
            <w:rStyle w:val="Hyperlink"/>
            <w:rFonts w:ascii="Times New Roman" w:hAnsi="Times New Roman" w:cs="Times New Roman"/>
            <w:sz w:val="20"/>
            <w:szCs w:val="20"/>
            <w:u w:val="none"/>
            <w:shd w:val="clear" w:color="auto" w:fill="FFFFFF"/>
          </w:rPr>
          <w:t xml:space="preserve">Table </w:t>
        </w:r>
        <w:r w:rsidR="00B3248D" w:rsidRPr="005260BF">
          <w:rPr>
            <w:rStyle w:val="Hyperlink"/>
            <w:rFonts w:ascii="Times New Roman" w:hAnsi="Times New Roman" w:cs="Times New Roman"/>
            <w:sz w:val="20"/>
            <w:szCs w:val="20"/>
            <w:u w:val="none"/>
            <w:shd w:val="clear" w:color="auto" w:fill="FFFFFF"/>
          </w:rPr>
          <w:t>1</w:t>
        </w:r>
      </w:hyperlink>
      <w:r w:rsidR="000854E4" w:rsidRPr="004B7B66">
        <w:rPr>
          <w:rFonts w:ascii="Times New Roman" w:hAnsi="Times New Roman" w:cs="Times New Roman"/>
          <w:sz w:val="20"/>
          <w:szCs w:val="20"/>
          <w:shd w:val="clear" w:color="auto" w:fill="FFFFFF"/>
        </w:rPr>
        <w:t xml:space="preserve"> shows the variables used and the minimum value for exchange rate volatility was found to be 0.0049 while the highest was 0.1332.</w:t>
      </w:r>
      <w:r w:rsidR="00293371">
        <w:rPr>
          <w:rFonts w:ascii="Times New Roman" w:hAnsi="Times New Roman" w:cs="Times New Roman"/>
          <w:sz w:val="20"/>
          <w:szCs w:val="20"/>
          <w:shd w:val="clear" w:color="auto" w:fill="FFFFFF"/>
        </w:rPr>
        <w:t xml:space="preserve"> </w:t>
      </w:r>
      <w:r w:rsidR="000854E4" w:rsidRPr="004B7B66">
        <w:rPr>
          <w:rFonts w:ascii="Times New Roman" w:hAnsi="Times New Roman" w:cs="Times New Roman"/>
          <w:sz w:val="20"/>
          <w:szCs w:val="20"/>
          <w:shd w:val="clear" w:color="auto" w:fill="FFFFFF"/>
        </w:rPr>
        <w:t>Furthermore, the central bank policy rate was recorded to have a minimum value of 4.25% in Q3 of 2017 and a maximum value of 62.79% in Q1-Q4 1998 during the country’s economic and financial crisis.</w:t>
      </w:r>
      <w:r w:rsidR="000854E4" w:rsidRPr="004B7B66">
        <w:rPr>
          <w:rFonts w:ascii="Times New Roman" w:eastAsia="Palatino Linotype" w:hAnsi="Times New Roman" w:cs="Times New Roman"/>
          <w:bCs/>
          <w:sz w:val="20"/>
          <w:szCs w:val="20"/>
        </w:rPr>
        <w:t xml:space="preserve"> </w:t>
      </w:r>
      <w:r w:rsidR="000854E4" w:rsidRPr="004B7B66">
        <w:rPr>
          <w:rFonts w:ascii="Times New Roman" w:hAnsi="Times New Roman" w:cs="Times New Roman"/>
          <w:sz w:val="20"/>
          <w:szCs w:val="20"/>
          <w:shd w:val="clear" w:color="auto" w:fill="FFFFFF"/>
        </w:rPr>
        <w:t xml:space="preserve">It was discovered that even though the average economic growth achieved by Indonesia was relatively high in the region of 4.8995%, the maximum value was 8.2200% </w:t>
      </w:r>
      <w:r w:rsidR="00075917">
        <w:rPr>
          <w:rFonts w:ascii="Times New Roman" w:hAnsi="Times New Roman" w:cs="Times New Roman"/>
          <w:sz w:val="20"/>
          <w:szCs w:val="20"/>
          <w:shd w:val="clear" w:color="auto" w:fill="FFFFFF"/>
        </w:rPr>
        <w:t>in</w:t>
      </w:r>
      <w:r w:rsidR="00075917" w:rsidRPr="004B7B66">
        <w:rPr>
          <w:rFonts w:ascii="Times New Roman" w:hAnsi="Times New Roman" w:cs="Times New Roman"/>
          <w:sz w:val="20"/>
          <w:szCs w:val="20"/>
          <w:shd w:val="clear" w:color="auto" w:fill="FFFFFF"/>
        </w:rPr>
        <w:t xml:space="preserve"> </w:t>
      </w:r>
      <w:r w:rsidR="000854E4" w:rsidRPr="004B7B66">
        <w:rPr>
          <w:rFonts w:ascii="Times New Roman" w:hAnsi="Times New Roman" w:cs="Times New Roman"/>
          <w:sz w:val="20"/>
          <w:szCs w:val="20"/>
          <w:shd w:val="clear" w:color="auto" w:fill="FFFFFF"/>
        </w:rPr>
        <w:t>Q4 of 1995 while the minimum was -13.12679 in Q4 of 1998. Meanwhile, the money per GDP had an average growth rate of 43.679% with the highest ratio recorded to be 57.261% while the lowest was 36.002%.</w:t>
      </w:r>
    </w:p>
    <w:p w14:paraId="177333A4" w14:textId="64147F6B" w:rsidR="000854E4" w:rsidRPr="004B7B66" w:rsidRDefault="000854E4" w:rsidP="009A132C">
      <w:pPr>
        <w:spacing w:after="0" w:line="240" w:lineRule="auto"/>
        <w:ind w:firstLine="360"/>
        <w:jc w:val="both"/>
        <w:rPr>
          <w:rFonts w:ascii="Times New Roman" w:hAnsi="Times New Roman" w:cs="Times New Roman"/>
          <w:sz w:val="20"/>
          <w:szCs w:val="20"/>
          <w:shd w:val="clear" w:color="auto" w:fill="FFFFFF"/>
        </w:rPr>
      </w:pPr>
      <w:r w:rsidRPr="004B7B66">
        <w:rPr>
          <w:rFonts w:ascii="Times New Roman" w:hAnsi="Times New Roman" w:cs="Times New Roman"/>
          <w:sz w:val="20"/>
          <w:szCs w:val="20"/>
          <w:shd w:val="clear" w:color="auto" w:fill="FFFFFF"/>
        </w:rPr>
        <w:t>The average inflation during the study period was 11.489 with a minimum value of -0.5957 and a maximum of 100.55. Meanwhile</w:t>
      </w:r>
      <w:r w:rsidR="00ED4E2A">
        <w:rPr>
          <w:rFonts w:ascii="Times New Roman" w:hAnsi="Times New Roman" w:cs="Times New Roman"/>
          <w:sz w:val="20"/>
          <w:szCs w:val="20"/>
          <w:shd w:val="clear" w:color="auto" w:fill="FFFFFF"/>
        </w:rPr>
        <w:t>,</w:t>
      </w:r>
      <w:r w:rsidRPr="004B7B66">
        <w:rPr>
          <w:rFonts w:ascii="Times New Roman" w:hAnsi="Times New Roman" w:cs="Times New Roman"/>
          <w:sz w:val="20"/>
          <w:szCs w:val="20"/>
          <w:shd w:val="clear" w:color="auto" w:fill="FFFFFF"/>
        </w:rPr>
        <w:t xml:space="preserve"> the average credit gap was -2.8169 with a maximum of 57.900 and a minimum of -37.600. An additional fact was related to the foreign reserve variable which was converted in the form of a logarithm with the average value found to be 10.643 with a maximum of 11.751 and a minimum of 9.1716.</w:t>
      </w:r>
    </w:p>
    <w:p w14:paraId="3990DB3E" w14:textId="77777777" w:rsidR="000854E4" w:rsidRPr="004B7B66" w:rsidRDefault="000854E4" w:rsidP="004B7B66">
      <w:pPr>
        <w:spacing w:after="0" w:line="240" w:lineRule="auto"/>
        <w:ind w:firstLine="284"/>
        <w:jc w:val="both"/>
        <w:rPr>
          <w:rFonts w:ascii="Times New Roman" w:eastAsia="Palatino Linotype" w:hAnsi="Times New Roman" w:cs="Times New Roman"/>
          <w:bCs/>
          <w:sz w:val="20"/>
          <w:szCs w:val="20"/>
        </w:rPr>
      </w:pPr>
    </w:p>
    <w:p w14:paraId="12AC346E" w14:textId="51BA743E" w:rsidR="009A132C" w:rsidRPr="009A132C" w:rsidRDefault="0071789C" w:rsidP="009A132C">
      <w:pPr>
        <w:kinsoku w:val="0"/>
        <w:overflowPunct w:val="0"/>
        <w:autoSpaceDE w:val="0"/>
        <w:autoSpaceDN w:val="0"/>
        <w:spacing w:after="0" w:line="240" w:lineRule="auto"/>
        <w:ind w:left="1800"/>
        <w:jc w:val="both"/>
        <w:rPr>
          <w:rFonts w:ascii="Times New Roman" w:eastAsia="Palatino Linotype" w:hAnsi="Times New Roman" w:cs="Times New Roman"/>
          <w:b/>
          <w:bCs/>
          <w:sz w:val="16"/>
          <w:szCs w:val="20"/>
        </w:rPr>
      </w:pPr>
      <w:bookmarkStart w:id="9" w:name="Table1"/>
      <w:r>
        <w:rPr>
          <w:rFonts w:ascii="Times New Roman" w:eastAsia="Palatino Linotype" w:hAnsi="Times New Roman" w:cs="Times New Roman"/>
          <w:b/>
          <w:bCs/>
          <w:sz w:val="16"/>
          <w:szCs w:val="20"/>
        </w:rPr>
        <w:t xml:space="preserve"> </w:t>
      </w:r>
      <w:r w:rsidR="000854E4" w:rsidRPr="009A132C">
        <w:rPr>
          <w:rFonts w:ascii="Times New Roman" w:eastAsia="Palatino Linotype" w:hAnsi="Times New Roman" w:cs="Times New Roman"/>
          <w:b/>
          <w:bCs/>
          <w:sz w:val="16"/>
          <w:szCs w:val="20"/>
        </w:rPr>
        <w:t>Table 1</w:t>
      </w:r>
      <w:bookmarkEnd w:id="9"/>
      <w:r w:rsidR="009A132C" w:rsidRPr="009A132C">
        <w:rPr>
          <w:rFonts w:ascii="Times New Roman" w:eastAsia="Palatino Linotype" w:hAnsi="Times New Roman" w:cs="Times New Roman"/>
          <w:b/>
          <w:bCs/>
          <w:sz w:val="16"/>
          <w:szCs w:val="20"/>
        </w:rPr>
        <w:t>.</w:t>
      </w:r>
    </w:p>
    <w:p w14:paraId="0537AA00" w14:textId="31BD6DB6" w:rsidR="000854E4" w:rsidRPr="009A132C" w:rsidRDefault="000854E4" w:rsidP="009A132C">
      <w:pPr>
        <w:kinsoku w:val="0"/>
        <w:overflowPunct w:val="0"/>
        <w:autoSpaceDE w:val="0"/>
        <w:autoSpaceDN w:val="0"/>
        <w:spacing w:after="0" w:line="240" w:lineRule="auto"/>
        <w:ind w:left="1800"/>
        <w:jc w:val="both"/>
        <w:rPr>
          <w:rFonts w:ascii="Times New Roman" w:eastAsia="Palatino Linotype" w:hAnsi="Times New Roman" w:cs="Times New Roman"/>
          <w:bCs/>
          <w:sz w:val="16"/>
          <w:szCs w:val="20"/>
        </w:rPr>
      </w:pPr>
      <w:r w:rsidRPr="009A132C">
        <w:rPr>
          <w:rFonts w:ascii="Times New Roman" w:eastAsia="Palatino Linotype" w:hAnsi="Times New Roman" w:cs="Times New Roman"/>
          <w:bCs/>
          <w:sz w:val="16"/>
          <w:szCs w:val="20"/>
        </w:rPr>
        <w:t xml:space="preserve"> Descriptive Statistics</w:t>
      </w:r>
    </w:p>
    <w:tbl>
      <w:tblPr>
        <w:tblW w:w="0" w:type="auto"/>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2"/>
        <w:gridCol w:w="1018"/>
        <w:gridCol w:w="1092"/>
        <w:gridCol w:w="1080"/>
        <w:gridCol w:w="900"/>
      </w:tblGrid>
      <w:tr w:rsidR="000854E4" w:rsidRPr="004B7B66" w14:paraId="222E4906" w14:textId="77777777" w:rsidTr="009A132C">
        <w:trPr>
          <w:trHeight w:val="252"/>
          <w:jc w:val="center"/>
        </w:trPr>
        <w:tc>
          <w:tcPr>
            <w:tcW w:w="2132" w:type="dxa"/>
            <w:vAlign w:val="bottom"/>
          </w:tcPr>
          <w:p w14:paraId="4381789F" w14:textId="77777777" w:rsidR="000854E4" w:rsidRPr="009A132C" w:rsidRDefault="000854E4" w:rsidP="00776F87">
            <w:pPr>
              <w:kinsoku w:val="0"/>
              <w:overflowPunct w:val="0"/>
              <w:autoSpaceDE w:val="0"/>
              <w:autoSpaceDN w:val="0"/>
              <w:adjustRightInd w:val="0"/>
              <w:spacing w:after="0" w:line="240" w:lineRule="auto"/>
              <w:ind w:left="139"/>
              <w:jc w:val="both"/>
              <w:rPr>
                <w:rFonts w:ascii="Times New Roman" w:hAnsi="Times New Roman" w:cs="Times New Roman"/>
                <w:b/>
                <w:sz w:val="20"/>
                <w:szCs w:val="20"/>
              </w:rPr>
            </w:pPr>
            <w:r w:rsidRPr="009A132C">
              <w:rPr>
                <w:rFonts w:ascii="Times New Roman" w:hAnsi="Times New Roman" w:cs="Times New Roman"/>
                <w:b/>
                <w:sz w:val="20"/>
                <w:szCs w:val="20"/>
              </w:rPr>
              <w:t>Variables</w:t>
            </w:r>
          </w:p>
        </w:tc>
        <w:tc>
          <w:tcPr>
            <w:tcW w:w="1018" w:type="dxa"/>
            <w:vAlign w:val="bottom"/>
          </w:tcPr>
          <w:p w14:paraId="58FD558F" w14:textId="77777777" w:rsidR="000854E4" w:rsidRPr="009A132C" w:rsidRDefault="000854E4" w:rsidP="009A132C">
            <w:pPr>
              <w:kinsoku w:val="0"/>
              <w:overflowPunct w:val="0"/>
              <w:autoSpaceDE w:val="0"/>
              <w:autoSpaceDN w:val="0"/>
              <w:adjustRightInd w:val="0"/>
              <w:spacing w:after="0" w:line="240" w:lineRule="auto"/>
              <w:jc w:val="center"/>
              <w:rPr>
                <w:rFonts w:ascii="Times New Roman" w:hAnsi="Times New Roman" w:cs="Times New Roman"/>
                <w:b/>
                <w:sz w:val="20"/>
                <w:szCs w:val="20"/>
              </w:rPr>
            </w:pPr>
            <w:r w:rsidRPr="009A132C">
              <w:rPr>
                <w:rFonts w:ascii="Times New Roman" w:hAnsi="Times New Roman" w:cs="Times New Roman"/>
                <w:b/>
                <w:sz w:val="20"/>
                <w:szCs w:val="20"/>
              </w:rPr>
              <w:t>Mean</w:t>
            </w:r>
          </w:p>
        </w:tc>
        <w:tc>
          <w:tcPr>
            <w:tcW w:w="1092" w:type="dxa"/>
            <w:vAlign w:val="bottom"/>
          </w:tcPr>
          <w:p w14:paraId="09C83B13" w14:textId="77777777" w:rsidR="000854E4" w:rsidRPr="009A132C" w:rsidRDefault="000854E4" w:rsidP="009A132C">
            <w:pPr>
              <w:kinsoku w:val="0"/>
              <w:overflowPunct w:val="0"/>
              <w:autoSpaceDE w:val="0"/>
              <w:autoSpaceDN w:val="0"/>
              <w:adjustRightInd w:val="0"/>
              <w:spacing w:after="0" w:line="240" w:lineRule="auto"/>
              <w:jc w:val="center"/>
              <w:rPr>
                <w:rFonts w:ascii="Times New Roman" w:hAnsi="Times New Roman" w:cs="Times New Roman"/>
                <w:b/>
                <w:sz w:val="20"/>
                <w:szCs w:val="20"/>
              </w:rPr>
            </w:pPr>
            <w:r w:rsidRPr="009A132C">
              <w:rPr>
                <w:rFonts w:ascii="Times New Roman" w:hAnsi="Times New Roman" w:cs="Times New Roman"/>
                <w:b/>
                <w:sz w:val="20"/>
                <w:szCs w:val="20"/>
              </w:rPr>
              <w:t>Std Dev.</w:t>
            </w:r>
          </w:p>
        </w:tc>
        <w:tc>
          <w:tcPr>
            <w:tcW w:w="1080" w:type="dxa"/>
            <w:vAlign w:val="bottom"/>
          </w:tcPr>
          <w:p w14:paraId="618EFF7F" w14:textId="77777777" w:rsidR="000854E4" w:rsidRPr="009A132C" w:rsidRDefault="000854E4" w:rsidP="009A132C">
            <w:pPr>
              <w:kinsoku w:val="0"/>
              <w:overflowPunct w:val="0"/>
              <w:autoSpaceDE w:val="0"/>
              <w:autoSpaceDN w:val="0"/>
              <w:adjustRightInd w:val="0"/>
              <w:spacing w:after="0" w:line="240" w:lineRule="auto"/>
              <w:jc w:val="center"/>
              <w:rPr>
                <w:rFonts w:ascii="Times New Roman" w:hAnsi="Times New Roman" w:cs="Times New Roman"/>
                <w:b/>
                <w:sz w:val="20"/>
                <w:szCs w:val="20"/>
              </w:rPr>
            </w:pPr>
            <w:r w:rsidRPr="009A132C">
              <w:rPr>
                <w:rFonts w:ascii="Times New Roman" w:hAnsi="Times New Roman" w:cs="Times New Roman"/>
                <w:b/>
                <w:sz w:val="20"/>
                <w:szCs w:val="20"/>
              </w:rPr>
              <w:t>Min.</w:t>
            </w:r>
          </w:p>
        </w:tc>
        <w:tc>
          <w:tcPr>
            <w:tcW w:w="900" w:type="dxa"/>
            <w:vAlign w:val="bottom"/>
          </w:tcPr>
          <w:p w14:paraId="45ECA2CC" w14:textId="77777777" w:rsidR="000854E4" w:rsidRPr="009A132C" w:rsidRDefault="000854E4" w:rsidP="009A132C">
            <w:pPr>
              <w:kinsoku w:val="0"/>
              <w:overflowPunct w:val="0"/>
              <w:autoSpaceDE w:val="0"/>
              <w:autoSpaceDN w:val="0"/>
              <w:adjustRightInd w:val="0"/>
              <w:spacing w:after="0" w:line="240" w:lineRule="auto"/>
              <w:jc w:val="center"/>
              <w:rPr>
                <w:rFonts w:ascii="Times New Roman" w:hAnsi="Times New Roman" w:cs="Times New Roman"/>
                <w:b/>
                <w:sz w:val="20"/>
                <w:szCs w:val="20"/>
              </w:rPr>
            </w:pPr>
            <w:r w:rsidRPr="009A132C">
              <w:rPr>
                <w:rFonts w:ascii="Times New Roman" w:hAnsi="Times New Roman" w:cs="Times New Roman"/>
                <w:b/>
                <w:sz w:val="20"/>
                <w:szCs w:val="20"/>
              </w:rPr>
              <w:t>Max.</w:t>
            </w:r>
          </w:p>
        </w:tc>
      </w:tr>
      <w:tr w:rsidR="000854E4" w:rsidRPr="004B7B66" w14:paraId="3B057D33" w14:textId="77777777" w:rsidTr="009A132C">
        <w:trPr>
          <w:trHeight w:val="252"/>
          <w:jc w:val="center"/>
        </w:trPr>
        <w:tc>
          <w:tcPr>
            <w:tcW w:w="2132" w:type="dxa"/>
            <w:vAlign w:val="bottom"/>
          </w:tcPr>
          <w:p w14:paraId="64B427A5" w14:textId="77777777" w:rsidR="000854E4" w:rsidRPr="004B7B66" w:rsidRDefault="000854E4" w:rsidP="00776F87">
            <w:pPr>
              <w:kinsoku w:val="0"/>
              <w:overflowPunct w:val="0"/>
              <w:autoSpaceDE w:val="0"/>
              <w:autoSpaceDN w:val="0"/>
              <w:adjustRightInd w:val="0"/>
              <w:spacing w:after="0" w:line="240" w:lineRule="auto"/>
              <w:ind w:left="139"/>
              <w:jc w:val="both"/>
              <w:rPr>
                <w:rFonts w:ascii="Times New Roman" w:hAnsi="Times New Roman" w:cs="Times New Roman"/>
                <w:sz w:val="20"/>
                <w:szCs w:val="20"/>
              </w:rPr>
            </w:pPr>
            <w:r w:rsidRPr="004B7B66">
              <w:rPr>
                <w:rFonts w:ascii="Times New Roman" w:hAnsi="Times New Roman" w:cs="Times New Roman"/>
                <w:sz w:val="20"/>
                <w:szCs w:val="20"/>
              </w:rPr>
              <w:t>IDR-USD Volatility</w:t>
            </w:r>
          </w:p>
        </w:tc>
        <w:tc>
          <w:tcPr>
            <w:tcW w:w="1018" w:type="dxa"/>
            <w:vAlign w:val="bottom"/>
          </w:tcPr>
          <w:p w14:paraId="6E61D52E" w14:textId="53AF7818"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0.02</w:t>
            </w:r>
          </w:p>
        </w:tc>
        <w:tc>
          <w:tcPr>
            <w:tcW w:w="1092" w:type="dxa"/>
            <w:vAlign w:val="bottom"/>
          </w:tcPr>
          <w:p w14:paraId="3A3C49A9" w14:textId="36C3D313"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B42B92">
              <w:rPr>
                <w:rFonts w:ascii="Times New Roman" w:hAnsi="Times New Roman" w:cs="Times New Roman"/>
                <w:sz w:val="20"/>
                <w:szCs w:val="20"/>
              </w:rPr>
              <w:t>3</w:t>
            </w:r>
          </w:p>
        </w:tc>
        <w:tc>
          <w:tcPr>
            <w:tcW w:w="1080" w:type="dxa"/>
            <w:vAlign w:val="bottom"/>
          </w:tcPr>
          <w:p w14:paraId="35E2AD4A" w14:textId="5EE29BF3"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B42B92">
              <w:rPr>
                <w:rFonts w:ascii="Times New Roman" w:hAnsi="Times New Roman" w:cs="Times New Roman"/>
                <w:sz w:val="20"/>
                <w:szCs w:val="20"/>
              </w:rPr>
              <w:t>1</w:t>
            </w:r>
          </w:p>
        </w:tc>
        <w:tc>
          <w:tcPr>
            <w:tcW w:w="900" w:type="dxa"/>
            <w:vAlign w:val="bottom"/>
          </w:tcPr>
          <w:p w14:paraId="541EC201" w14:textId="6A1EB609"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0.13</w:t>
            </w:r>
          </w:p>
        </w:tc>
      </w:tr>
      <w:tr w:rsidR="000854E4" w:rsidRPr="004B7B66" w14:paraId="0AEB1D60" w14:textId="77777777" w:rsidTr="009A132C">
        <w:trPr>
          <w:trHeight w:val="252"/>
          <w:jc w:val="center"/>
        </w:trPr>
        <w:tc>
          <w:tcPr>
            <w:tcW w:w="2132" w:type="dxa"/>
            <w:vAlign w:val="bottom"/>
          </w:tcPr>
          <w:p w14:paraId="5CA0E963" w14:textId="77777777" w:rsidR="000854E4" w:rsidRPr="004B7B66" w:rsidRDefault="000854E4" w:rsidP="00776F87">
            <w:pPr>
              <w:kinsoku w:val="0"/>
              <w:overflowPunct w:val="0"/>
              <w:autoSpaceDE w:val="0"/>
              <w:autoSpaceDN w:val="0"/>
              <w:adjustRightInd w:val="0"/>
              <w:spacing w:after="0" w:line="240" w:lineRule="auto"/>
              <w:ind w:left="139"/>
              <w:jc w:val="both"/>
              <w:rPr>
                <w:rFonts w:ascii="Times New Roman" w:hAnsi="Times New Roman" w:cs="Times New Roman"/>
                <w:sz w:val="20"/>
                <w:szCs w:val="20"/>
              </w:rPr>
            </w:pPr>
            <w:r w:rsidRPr="004B7B66">
              <w:rPr>
                <w:rFonts w:ascii="Times New Roman" w:hAnsi="Times New Roman" w:cs="Times New Roman"/>
                <w:sz w:val="20"/>
                <w:szCs w:val="20"/>
              </w:rPr>
              <w:t>IDR-SGD Volatility</w:t>
            </w:r>
          </w:p>
        </w:tc>
        <w:tc>
          <w:tcPr>
            <w:tcW w:w="1018" w:type="dxa"/>
            <w:vAlign w:val="bottom"/>
          </w:tcPr>
          <w:p w14:paraId="24266F55" w14:textId="0D9F1221"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0.00</w:t>
            </w:r>
          </w:p>
        </w:tc>
        <w:tc>
          <w:tcPr>
            <w:tcW w:w="1092" w:type="dxa"/>
            <w:vAlign w:val="bottom"/>
          </w:tcPr>
          <w:p w14:paraId="7189C6B9" w14:textId="0F892287"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B42B92">
              <w:rPr>
                <w:rFonts w:ascii="Times New Roman" w:hAnsi="Times New Roman" w:cs="Times New Roman"/>
                <w:sz w:val="20"/>
                <w:szCs w:val="20"/>
              </w:rPr>
              <w:t>1</w:t>
            </w:r>
          </w:p>
        </w:tc>
        <w:tc>
          <w:tcPr>
            <w:tcW w:w="1080" w:type="dxa"/>
            <w:vAlign w:val="bottom"/>
          </w:tcPr>
          <w:p w14:paraId="4D99A5E9" w14:textId="1552DFDA"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0.00</w:t>
            </w:r>
          </w:p>
        </w:tc>
        <w:tc>
          <w:tcPr>
            <w:tcW w:w="900" w:type="dxa"/>
            <w:vAlign w:val="bottom"/>
          </w:tcPr>
          <w:p w14:paraId="1A7EBB7B" w14:textId="56B32966"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0.02</w:t>
            </w:r>
          </w:p>
        </w:tc>
      </w:tr>
      <w:tr w:rsidR="000854E4" w:rsidRPr="004B7B66" w14:paraId="2F3C5E6D" w14:textId="77777777" w:rsidTr="009A132C">
        <w:trPr>
          <w:trHeight w:val="252"/>
          <w:jc w:val="center"/>
        </w:trPr>
        <w:tc>
          <w:tcPr>
            <w:tcW w:w="2132" w:type="dxa"/>
            <w:vAlign w:val="bottom"/>
          </w:tcPr>
          <w:p w14:paraId="78D2AE7C" w14:textId="77777777" w:rsidR="000854E4" w:rsidRPr="004B7B66" w:rsidRDefault="000854E4" w:rsidP="00776F87">
            <w:pPr>
              <w:kinsoku w:val="0"/>
              <w:overflowPunct w:val="0"/>
              <w:autoSpaceDE w:val="0"/>
              <w:autoSpaceDN w:val="0"/>
              <w:adjustRightInd w:val="0"/>
              <w:spacing w:after="0" w:line="240" w:lineRule="auto"/>
              <w:ind w:left="139"/>
              <w:jc w:val="both"/>
              <w:rPr>
                <w:rFonts w:ascii="Times New Roman" w:hAnsi="Times New Roman" w:cs="Times New Roman"/>
                <w:sz w:val="20"/>
                <w:szCs w:val="20"/>
              </w:rPr>
            </w:pPr>
            <w:r w:rsidRPr="004B7B66">
              <w:rPr>
                <w:rFonts w:ascii="Times New Roman" w:hAnsi="Times New Roman" w:cs="Times New Roman"/>
                <w:sz w:val="20"/>
                <w:szCs w:val="20"/>
              </w:rPr>
              <w:t>IDR-AUD Volatility</w:t>
            </w:r>
          </w:p>
        </w:tc>
        <w:tc>
          <w:tcPr>
            <w:tcW w:w="1018" w:type="dxa"/>
            <w:vAlign w:val="bottom"/>
          </w:tcPr>
          <w:p w14:paraId="457CB73E" w14:textId="2A873490"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0.00</w:t>
            </w:r>
          </w:p>
        </w:tc>
        <w:tc>
          <w:tcPr>
            <w:tcW w:w="1092" w:type="dxa"/>
            <w:vAlign w:val="bottom"/>
          </w:tcPr>
          <w:p w14:paraId="5C8EAA73" w14:textId="306AF91D"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B42B92">
              <w:rPr>
                <w:rFonts w:ascii="Times New Roman" w:hAnsi="Times New Roman" w:cs="Times New Roman"/>
                <w:sz w:val="20"/>
                <w:szCs w:val="20"/>
              </w:rPr>
              <w:t>1</w:t>
            </w:r>
          </w:p>
        </w:tc>
        <w:tc>
          <w:tcPr>
            <w:tcW w:w="1080" w:type="dxa"/>
            <w:vAlign w:val="bottom"/>
          </w:tcPr>
          <w:p w14:paraId="682DF151" w14:textId="057363EB"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0.00</w:t>
            </w:r>
          </w:p>
        </w:tc>
        <w:tc>
          <w:tcPr>
            <w:tcW w:w="900" w:type="dxa"/>
            <w:vAlign w:val="bottom"/>
          </w:tcPr>
          <w:p w14:paraId="458F8DB6" w14:textId="50C75264"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B42B92">
              <w:rPr>
                <w:rFonts w:ascii="Times New Roman" w:hAnsi="Times New Roman" w:cs="Times New Roman"/>
                <w:sz w:val="20"/>
                <w:szCs w:val="20"/>
              </w:rPr>
              <w:t>1</w:t>
            </w:r>
          </w:p>
        </w:tc>
      </w:tr>
      <w:tr w:rsidR="000854E4" w:rsidRPr="004B7B66" w14:paraId="5D329385" w14:textId="77777777" w:rsidTr="009A132C">
        <w:trPr>
          <w:trHeight w:val="252"/>
          <w:jc w:val="center"/>
        </w:trPr>
        <w:tc>
          <w:tcPr>
            <w:tcW w:w="2132" w:type="dxa"/>
            <w:vAlign w:val="bottom"/>
          </w:tcPr>
          <w:p w14:paraId="39FF573C" w14:textId="77777777" w:rsidR="000854E4" w:rsidRPr="004B7B66" w:rsidRDefault="000854E4" w:rsidP="00776F87">
            <w:pPr>
              <w:kinsoku w:val="0"/>
              <w:overflowPunct w:val="0"/>
              <w:autoSpaceDE w:val="0"/>
              <w:autoSpaceDN w:val="0"/>
              <w:adjustRightInd w:val="0"/>
              <w:spacing w:after="0" w:line="240" w:lineRule="auto"/>
              <w:ind w:left="139"/>
              <w:jc w:val="both"/>
              <w:rPr>
                <w:rFonts w:ascii="Times New Roman" w:hAnsi="Times New Roman" w:cs="Times New Roman"/>
                <w:sz w:val="20"/>
                <w:szCs w:val="20"/>
              </w:rPr>
            </w:pPr>
            <w:r w:rsidRPr="004B7B66">
              <w:rPr>
                <w:rFonts w:ascii="Times New Roman" w:hAnsi="Times New Roman" w:cs="Times New Roman"/>
                <w:sz w:val="20"/>
                <w:szCs w:val="20"/>
              </w:rPr>
              <w:t>IDR-GBP Volatility</w:t>
            </w:r>
          </w:p>
        </w:tc>
        <w:tc>
          <w:tcPr>
            <w:tcW w:w="1018" w:type="dxa"/>
            <w:vAlign w:val="bottom"/>
          </w:tcPr>
          <w:p w14:paraId="13C27842" w14:textId="1FF8311C"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0.00</w:t>
            </w:r>
          </w:p>
        </w:tc>
        <w:tc>
          <w:tcPr>
            <w:tcW w:w="1092" w:type="dxa"/>
            <w:vAlign w:val="bottom"/>
          </w:tcPr>
          <w:p w14:paraId="268C3F30" w14:textId="1A4EEB51"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B42B92">
              <w:rPr>
                <w:rFonts w:ascii="Times New Roman" w:hAnsi="Times New Roman" w:cs="Times New Roman"/>
                <w:sz w:val="20"/>
                <w:szCs w:val="20"/>
              </w:rPr>
              <w:t>1</w:t>
            </w:r>
          </w:p>
        </w:tc>
        <w:tc>
          <w:tcPr>
            <w:tcW w:w="1080" w:type="dxa"/>
            <w:vAlign w:val="bottom"/>
          </w:tcPr>
          <w:p w14:paraId="6D60EBA7" w14:textId="7CBD3F20"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0.00</w:t>
            </w:r>
          </w:p>
        </w:tc>
        <w:tc>
          <w:tcPr>
            <w:tcW w:w="900" w:type="dxa"/>
            <w:vAlign w:val="bottom"/>
          </w:tcPr>
          <w:p w14:paraId="3A3D4FFE" w14:textId="0BD32C5A"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B42B92">
              <w:rPr>
                <w:rFonts w:ascii="Times New Roman" w:hAnsi="Times New Roman" w:cs="Times New Roman"/>
                <w:sz w:val="20"/>
                <w:szCs w:val="20"/>
              </w:rPr>
              <w:t>1</w:t>
            </w:r>
          </w:p>
        </w:tc>
      </w:tr>
      <w:tr w:rsidR="000854E4" w:rsidRPr="004B7B66" w14:paraId="1A692C83" w14:textId="77777777" w:rsidTr="009A132C">
        <w:trPr>
          <w:trHeight w:val="252"/>
          <w:jc w:val="center"/>
        </w:trPr>
        <w:tc>
          <w:tcPr>
            <w:tcW w:w="2132" w:type="dxa"/>
            <w:vAlign w:val="bottom"/>
          </w:tcPr>
          <w:p w14:paraId="785243C2" w14:textId="77777777" w:rsidR="000854E4" w:rsidRPr="004B7B66" w:rsidRDefault="000854E4" w:rsidP="00776F87">
            <w:pPr>
              <w:kinsoku w:val="0"/>
              <w:overflowPunct w:val="0"/>
              <w:autoSpaceDE w:val="0"/>
              <w:autoSpaceDN w:val="0"/>
              <w:adjustRightInd w:val="0"/>
              <w:spacing w:after="0" w:line="240" w:lineRule="auto"/>
              <w:ind w:left="139"/>
              <w:jc w:val="both"/>
              <w:rPr>
                <w:rFonts w:ascii="Times New Roman" w:hAnsi="Times New Roman" w:cs="Times New Roman"/>
                <w:sz w:val="20"/>
                <w:szCs w:val="20"/>
              </w:rPr>
            </w:pPr>
            <w:r w:rsidRPr="004B7B66">
              <w:rPr>
                <w:rFonts w:ascii="Times New Roman" w:hAnsi="Times New Roman" w:cs="Times New Roman"/>
                <w:sz w:val="20"/>
                <w:szCs w:val="20"/>
              </w:rPr>
              <w:t>IDR-EURO Volatility</w:t>
            </w:r>
          </w:p>
        </w:tc>
        <w:tc>
          <w:tcPr>
            <w:tcW w:w="1018" w:type="dxa"/>
            <w:vAlign w:val="bottom"/>
          </w:tcPr>
          <w:p w14:paraId="06FE5FA4" w14:textId="0F80CCE0"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0.00</w:t>
            </w:r>
          </w:p>
        </w:tc>
        <w:tc>
          <w:tcPr>
            <w:tcW w:w="1092" w:type="dxa"/>
            <w:vAlign w:val="bottom"/>
          </w:tcPr>
          <w:p w14:paraId="67A7DB49" w14:textId="118BD495"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B42B92">
              <w:rPr>
                <w:rFonts w:ascii="Times New Roman" w:hAnsi="Times New Roman" w:cs="Times New Roman"/>
                <w:sz w:val="20"/>
                <w:szCs w:val="20"/>
              </w:rPr>
              <w:t>1</w:t>
            </w:r>
          </w:p>
        </w:tc>
        <w:tc>
          <w:tcPr>
            <w:tcW w:w="1080" w:type="dxa"/>
            <w:vAlign w:val="bottom"/>
          </w:tcPr>
          <w:p w14:paraId="2D946F04" w14:textId="6E0A536C"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0.00</w:t>
            </w:r>
          </w:p>
        </w:tc>
        <w:tc>
          <w:tcPr>
            <w:tcW w:w="900" w:type="dxa"/>
            <w:vAlign w:val="bottom"/>
          </w:tcPr>
          <w:p w14:paraId="3273AAB8" w14:textId="120A3E24"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B42B92">
              <w:rPr>
                <w:rFonts w:ascii="Times New Roman" w:hAnsi="Times New Roman" w:cs="Times New Roman"/>
                <w:sz w:val="20"/>
                <w:szCs w:val="20"/>
              </w:rPr>
              <w:t>1</w:t>
            </w:r>
          </w:p>
        </w:tc>
      </w:tr>
      <w:tr w:rsidR="000854E4" w:rsidRPr="004B7B66" w14:paraId="67DE6CBF" w14:textId="77777777" w:rsidTr="009A132C">
        <w:trPr>
          <w:trHeight w:val="252"/>
          <w:jc w:val="center"/>
        </w:trPr>
        <w:tc>
          <w:tcPr>
            <w:tcW w:w="2132" w:type="dxa"/>
            <w:vAlign w:val="bottom"/>
          </w:tcPr>
          <w:p w14:paraId="4FDD64FF" w14:textId="1EE40D0B" w:rsidR="000854E4" w:rsidRPr="004B7B66" w:rsidRDefault="000854E4" w:rsidP="00776F87">
            <w:pPr>
              <w:kinsoku w:val="0"/>
              <w:overflowPunct w:val="0"/>
              <w:autoSpaceDE w:val="0"/>
              <w:autoSpaceDN w:val="0"/>
              <w:adjustRightInd w:val="0"/>
              <w:spacing w:after="0" w:line="240" w:lineRule="auto"/>
              <w:ind w:left="139"/>
              <w:jc w:val="both"/>
              <w:rPr>
                <w:rFonts w:ascii="Times New Roman" w:hAnsi="Times New Roman" w:cs="Times New Roman"/>
                <w:sz w:val="20"/>
                <w:szCs w:val="20"/>
              </w:rPr>
            </w:pPr>
            <w:r w:rsidRPr="004B7B66">
              <w:rPr>
                <w:rFonts w:ascii="Times New Roman" w:hAnsi="Times New Roman" w:cs="Times New Roman"/>
                <w:sz w:val="20"/>
                <w:szCs w:val="20"/>
              </w:rPr>
              <w:t>C</w:t>
            </w:r>
            <w:r w:rsidR="00612245">
              <w:rPr>
                <w:rFonts w:ascii="Times New Roman" w:hAnsi="Times New Roman" w:cs="Times New Roman"/>
                <w:sz w:val="20"/>
                <w:szCs w:val="20"/>
              </w:rPr>
              <w:t xml:space="preserve">entral </w:t>
            </w:r>
            <w:r w:rsidRPr="004B7B66">
              <w:rPr>
                <w:rFonts w:ascii="Times New Roman" w:hAnsi="Times New Roman" w:cs="Times New Roman"/>
                <w:sz w:val="20"/>
                <w:szCs w:val="20"/>
              </w:rPr>
              <w:t>B</w:t>
            </w:r>
            <w:r w:rsidR="00612245">
              <w:rPr>
                <w:rFonts w:ascii="Times New Roman" w:hAnsi="Times New Roman" w:cs="Times New Roman"/>
                <w:sz w:val="20"/>
                <w:szCs w:val="20"/>
              </w:rPr>
              <w:t xml:space="preserve">ank </w:t>
            </w:r>
            <w:r w:rsidRPr="004B7B66">
              <w:rPr>
                <w:rFonts w:ascii="Times New Roman" w:hAnsi="Times New Roman" w:cs="Times New Roman"/>
                <w:sz w:val="20"/>
                <w:szCs w:val="20"/>
              </w:rPr>
              <w:t xml:space="preserve"> Rate</w:t>
            </w:r>
          </w:p>
        </w:tc>
        <w:tc>
          <w:tcPr>
            <w:tcW w:w="1018" w:type="dxa"/>
            <w:vAlign w:val="bottom"/>
          </w:tcPr>
          <w:p w14:paraId="7B786872" w14:textId="5B406EB6"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12.1</w:t>
            </w:r>
          </w:p>
        </w:tc>
        <w:tc>
          <w:tcPr>
            <w:tcW w:w="1092" w:type="dxa"/>
            <w:vAlign w:val="bottom"/>
          </w:tcPr>
          <w:p w14:paraId="554BC723" w14:textId="21C3C264"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11.</w:t>
            </w:r>
            <w:r w:rsidR="00B42B92">
              <w:rPr>
                <w:rFonts w:ascii="Times New Roman" w:hAnsi="Times New Roman" w:cs="Times New Roman"/>
                <w:sz w:val="20"/>
                <w:szCs w:val="20"/>
              </w:rPr>
              <w:t>2</w:t>
            </w:r>
          </w:p>
        </w:tc>
        <w:tc>
          <w:tcPr>
            <w:tcW w:w="1080" w:type="dxa"/>
            <w:vAlign w:val="bottom"/>
          </w:tcPr>
          <w:p w14:paraId="57236EF1" w14:textId="38BE1EEB"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4.25</w:t>
            </w:r>
          </w:p>
        </w:tc>
        <w:tc>
          <w:tcPr>
            <w:tcW w:w="900" w:type="dxa"/>
            <w:vAlign w:val="bottom"/>
          </w:tcPr>
          <w:p w14:paraId="0563FC9B" w14:textId="1C717B1F"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62.7</w:t>
            </w:r>
          </w:p>
        </w:tc>
      </w:tr>
      <w:tr w:rsidR="000854E4" w:rsidRPr="004B7B66" w14:paraId="395F75C8" w14:textId="77777777" w:rsidTr="009A132C">
        <w:trPr>
          <w:trHeight w:val="252"/>
          <w:jc w:val="center"/>
        </w:trPr>
        <w:tc>
          <w:tcPr>
            <w:tcW w:w="2132" w:type="dxa"/>
            <w:vAlign w:val="bottom"/>
          </w:tcPr>
          <w:p w14:paraId="5AFEBC31" w14:textId="77777777" w:rsidR="000854E4" w:rsidRPr="004B7B66" w:rsidRDefault="000854E4" w:rsidP="00776F87">
            <w:pPr>
              <w:kinsoku w:val="0"/>
              <w:overflowPunct w:val="0"/>
              <w:autoSpaceDE w:val="0"/>
              <w:autoSpaceDN w:val="0"/>
              <w:adjustRightInd w:val="0"/>
              <w:spacing w:after="0" w:line="240" w:lineRule="auto"/>
              <w:ind w:left="139"/>
              <w:jc w:val="both"/>
              <w:rPr>
                <w:rFonts w:ascii="Times New Roman" w:hAnsi="Times New Roman" w:cs="Times New Roman"/>
                <w:sz w:val="20"/>
                <w:szCs w:val="20"/>
              </w:rPr>
            </w:pPr>
            <w:r w:rsidRPr="004B7B66">
              <w:rPr>
                <w:rFonts w:ascii="Times New Roman" w:hAnsi="Times New Roman" w:cs="Times New Roman"/>
                <w:sz w:val="20"/>
                <w:szCs w:val="20"/>
              </w:rPr>
              <w:t>Output Gap</w:t>
            </w:r>
          </w:p>
        </w:tc>
        <w:tc>
          <w:tcPr>
            <w:tcW w:w="1018" w:type="dxa"/>
            <w:vAlign w:val="bottom"/>
          </w:tcPr>
          <w:p w14:paraId="798697B6" w14:textId="57ED655E"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B42B92">
              <w:rPr>
                <w:rFonts w:ascii="Times New Roman" w:hAnsi="Times New Roman" w:cs="Times New Roman"/>
                <w:sz w:val="20"/>
                <w:szCs w:val="20"/>
              </w:rPr>
              <w:t>1</w:t>
            </w:r>
          </w:p>
        </w:tc>
        <w:tc>
          <w:tcPr>
            <w:tcW w:w="1092" w:type="dxa"/>
            <w:vAlign w:val="bottom"/>
          </w:tcPr>
          <w:p w14:paraId="3B77213F" w14:textId="5BB9409D"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0.04</w:t>
            </w:r>
          </w:p>
        </w:tc>
        <w:tc>
          <w:tcPr>
            <w:tcW w:w="1080" w:type="dxa"/>
            <w:vAlign w:val="bottom"/>
          </w:tcPr>
          <w:p w14:paraId="644338BD" w14:textId="6AF53358"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-0.10</w:t>
            </w:r>
          </w:p>
        </w:tc>
        <w:tc>
          <w:tcPr>
            <w:tcW w:w="900" w:type="dxa"/>
            <w:vAlign w:val="bottom"/>
          </w:tcPr>
          <w:p w14:paraId="01E4961D" w14:textId="68994ADC"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0.25</w:t>
            </w:r>
          </w:p>
        </w:tc>
      </w:tr>
      <w:tr w:rsidR="000854E4" w:rsidRPr="004B7B66" w14:paraId="20D88F1E" w14:textId="77777777" w:rsidTr="009A132C">
        <w:trPr>
          <w:trHeight w:val="252"/>
          <w:jc w:val="center"/>
        </w:trPr>
        <w:tc>
          <w:tcPr>
            <w:tcW w:w="2132" w:type="dxa"/>
            <w:vAlign w:val="bottom"/>
          </w:tcPr>
          <w:p w14:paraId="1E3649AF" w14:textId="77777777" w:rsidR="000854E4" w:rsidRPr="004B7B66" w:rsidRDefault="000854E4" w:rsidP="00776F87">
            <w:pPr>
              <w:kinsoku w:val="0"/>
              <w:overflowPunct w:val="0"/>
              <w:autoSpaceDE w:val="0"/>
              <w:autoSpaceDN w:val="0"/>
              <w:adjustRightInd w:val="0"/>
              <w:spacing w:after="0" w:line="240" w:lineRule="auto"/>
              <w:ind w:left="139"/>
              <w:jc w:val="both"/>
              <w:rPr>
                <w:rFonts w:ascii="Times New Roman" w:hAnsi="Times New Roman" w:cs="Times New Roman"/>
                <w:sz w:val="20"/>
                <w:szCs w:val="20"/>
              </w:rPr>
            </w:pPr>
            <w:r w:rsidRPr="004B7B66">
              <w:rPr>
                <w:rFonts w:ascii="Times New Roman" w:hAnsi="Times New Roman" w:cs="Times New Roman"/>
                <w:sz w:val="20"/>
                <w:szCs w:val="20"/>
              </w:rPr>
              <w:t>Money per GDP</w:t>
            </w:r>
          </w:p>
        </w:tc>
        <w:tc>
          <w:tcPr>
            <w:tcW w:w="1018" w:type="dxa"/>
            <w:vAlign w:val="bottom"/>
          </w:tcPr>
          <w:p w14:paraId="23B588C1" w14:textId="4956B9F0"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43.6</w:t>
            </w:r>
          </w:p>
        </w:tc>
        <w:tc>
          <w:tcPr>
            <w:tcW w:w="1092" w:type="dxa"/>
            <w:vAlign w:val="bottom"/>
          </w:tcPr>
          <w:p w14:paraId="064C2736" w14:textId="698DE564"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5.8</w:t>
            </w:r>
            <w:r w:rsidR="00B42B92">
              <w:rPr>
                <w:rFonts w:ascii="Times New Roman" w:hAnsi="Times New Roman" w:cs="Times New Roman"/>
                <w:sz w:val="20"/>
                <w:szCs w:val="20"/>
              </w:rPr>
              <w:t>1</w:t>
            </w:r>
          </w:p>
        </w:tc>
        <w:tc>
          <w:tcPr>
            <w:tcW w:w="1080" w:type="dxa"/>
            <w:vAlign w:val="bottom"/>
          </w:tcPr>
          <w:p w14:paraId="328906F4" w14:textId="646A2A29"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36.0</w:t>
            </w:r>
          </w:p>
        </w:tc>
        <w:tc>
          <w:tcPr>
            <w:tcW w:w="900" w:type="dxa"/>
            <w:vAlign w:val="bottom"/>
          </w:tcPr>
          <w:p w14:paraId="4DDC8B4B" w14:textId="4DD16379"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57.2</w:t>
            </w:r>
          </w:p>
        </w:tc>
      </w:tr>
      <w:tr w:rsidR="000854E4" w:rsidRPr="004B7B66" w14:paraId="25CFC208" w14:textId="77777777" w:rsidTr="009A132C">
        <w:trPr>
          <w:trHeight w:val="252"/>
          <w:jc w:val="center"/>
        </w:trPr>
        <w:tc>
          <w:tcPr>
            <w:tcW w:w="2132" w:type="dxa"/>
            <w:vAlign w:val="bottom"/>
          </w:tcPr>
          <w:p w14:paraId="2EF747B1" w14:textId="77777777" w:rsidR="000854E4" w:rsidRPr="004B7B66" w:rsidRDefault="000854E4" w:rsidP="00776F87">
            <w:pPr>
              <w:kinsoku w:val="0"/>
              <w:overflowPunct w:val="0"/>
              <w:autoSpaceDE w:val="0"/>
              <w:autoSpaceDN w:val="0"/>
              <w:adjustRightInd w:val="0"/>
              <w:spacing w:after="0" w:line="240" w:lineRule="auto"/>
              <w:ind w:left="139"/>
              <w:jc w:val="both"/>
              <w:rPr>
                <w:rFonts w:ascii="Times New Roman" w:hAnsi="Times New Roman" w:cs="Times New Roman"/>
                <w:sz w:val="20"/>
                <w:szCs w:val="20"/>
              </w:rPr>
            </w:pPr>
            <w:r w:rsidRPr="004B7B66">
              <w:rPr>
                <w:rFonts w:ascii="Times New Roman" w:hAnsi="Times New Roman" w:cs="Times New Roman"/>
                <w:sz w:val="20"/>
                <w:szCs w:val="20"/>
              </w:rPr>
              <w:t>Credit Gap</w:t>
            </w:r>
          </w:p>
        </w:tc>
        <w:tc>
          <w:tcPr>
            <w:tcW w:w="1018" w:type="dxa"/>
            <w:vAlign w:val="bottom"/>
          </w:tcPr>
          <w:p w14:paraId="5F862A50" w14:textId="1F281085"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-2.81</w:t>
            </w:r>
          </w:p>
        </w:tc>
        <w:tc>
          <w:tcPr>
            <w:tcW w:w="1092" w:type="dxa"/>
            <w:vAlign w:val="bottom"/>
          </w:tcPr>
          <w:p w14:paraId="3912372C" w14:textId="43B81F06"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15.9</w:t>
            </w:r>
          </w:p>
        </w:tc>
        <w:tc>
          <w:tcPr>
            <w:tcW w:w="1080" w:type="dxa"/>
            <w:vAlign w:val="bottom"/>
          </w:tcPr>
          <w:p w14:paraId="0ADB7359" w14:textId="550B70D5"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-37.6</w:t>
            </w:r>
          </w:p>
        </w:tc>
        <w:tc>
          <w:tcPr>
            <w:tcW w:w="900" w:type="dxa"/>
            <w:vAlign w:val="bottom"/>
          </w:tcPr>
          <w:p w14:paraId="1FE4C113" w14:textId="19B69E99" w:rsidR="000854E4" w:rsidRPr="004B7B66" w:rsidRDefault="000854E4" w:rsidP="009A132C">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57.9</w:t>
            </w:r>
          </w:p>
        </w:tc>
      </w:tr>
    </w:tbl>
    <w:tbl>
      <w:tblPr>
        <w:tblStyle w:val="TableGrid"/>
        <w:tblW w:w="6210" w:type="dxa"/>
        <w:tblInd w:w="1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7"/>
        <w:gridCol w:w="5613"/>
      </w:tblGrid>
      <w:tr w:rsidR="00FD70F3" w14:paraId="097B7805" w14:textId="77777777" w:rsidTr="00FD70F3">
        <w:trPr>
          <w:trHeight w:val="467"/>
        </w:trPr>
        <w:tc>
          <w:tcPr>
            <w:tcW w:w="597" w:type="dxa"/>
          </w:tcPr>
          <w:p w14:paraId="7351A216" w14:textId="58F1EE12" w:rsidR="00FD70F3" w:rsidRDefault="00FD70F3" w:rsidP="00FD70F3">
            <w:pPr>
              <w:kinsoku w:val="0"/>
              <w:overflowPunct w:val="0"/>
              <w:autoSpaceDE w:val="0"/>
              <w:autoSpaceDN w:val="0"/>
              <w:adjustRightInd w:val="0"/>
              <w:jc w:val="both"/>
              <w:rPr>
                <w:rFonts w:ascii="Times New Roman" w:hAnsi="Times New Roman" w:cs="Times New Roman"/>
                <w:sz w:val="14"/>
                <w:szCs w:val="20"/>
              </w:rPr>
            </w:pPr>
            <w:r w:rsidRPr="00166854">
              <w:rPr>
                <w:rFonts w:ascii="Times New Roman" w:hAnsi="Times New Roman" w:cs="Times New Roman"/>
                <w:b/>
                <w:sz w:val="14"/>
                <w:szCs w:val="20"/>
              </w:rPr>
              <w:t>Notes:</w:t>
            </w:r>
            <w:r w:rsidRPr="00166854">
              <w:rPr>
                <w:rFonts w:ascii="Times New Roman" w:hAnsi="Times New Roman" w:cs="Times New Roman"/>
                <w:sz w:val="14"/>
                <w:szCs w:val="20"/>
              </w:rPr>
              <w:t xml:space="preserve">  </w:t>
            </w:r>
          </w:p>
        </w:tc>
        <w:tc>
          <w:tcPr>
            <w:tcW w:w="5613" w:type="dxa"/>
          </w:tcPr>
          <w:p w14:paraId="1E290652" w14:textId="16E1EB45" w:rsidR="00FD70F3" w:rsidRPr="00FD70F3" w:rsidRDefault="00FD70F3" w:rsidP="00FD70F3">
            <w:pPr>
              <w:pStyle w:val="ListParagraph"/>
              <w:numPr>
                <w:ilvl w:val="0"/>
                <w:numId w:val="13"/>
              </w:numPr>
              <w:kinsoku w:val="0"/>
              <w:overflowPunct w:val="0"/>
              <w:autoSpaceDE w:val="0"/>
              <w:autoSpaceDN w:val="0"/>
              <w:adjustRightInd w:val="0"/>
              <w:spacing w:after="160"/>
              <w:ind w:left="197" w:hanging="180"/>
              <w:jc w:val="both"/>
              <w:rPr>
                <w:rFonts w:ascii="Times New Roman" w:hAnsi="Times New Roman" w:cs="Times New Roman"/>
                <w:sz w:val="14"/>
                <w:szCs w:val="20"/>
              </w:rPr>
            </w:pPr>
            <w:r w:rsidRPr="00FD70F3">
              <w:rPr>
                <w:rFonts w:ascii="Times New Roman" w:hAnsi="Times New Roman" w:cs="Times New Roman"/>
                <w:sz w:val="14"/>
                <w:szCs w:val="20"/>
              </w:rPr>
              <w:t>IDR-USD Volatility is Indonesia Rupiah to US Dollar volatility.</w:t>
            </w:r>
          </w:p>
          <w:p w14:paraId="26E4371B" w14:textId="77777777" w:rsidR="00FD70F3" w:rsidRPr="00FD70F3" w:rsidRDefault="00FD70F3" w:rsidP="00FD70F3">
            <w:pPr>
              <w:pStyle w:val="ListParagraph"/>
              <w:numPr>
                <w:ilvl w:val="0"/>
                <w:numId w:val="13"/>
              </w:numPr>
              <w:kinsoku w:val="0"/>
              <w:overflowPunct w:val="0"/>
              <w:autoSpaceDE w:val="0"/>
              <w:autoSpaceDN w:val="0"/>
              <w:adjustRightInd w:val="0"/>
              <w:spacing w:after="160"/>
              <w:ind w:left="197" w:hanging="180"/>
              <w:jc w:val="both"/>
              <w:rPr>
                <w:rFonts w:ascii="Times New Roman" w:hAnsi="Times New Roman" w:cs="Times New Roman"/>
                <w:sz w:val="14"/>
                <w:szCs w:val="20"/>
              </w:rPr>
            </w:pPr>
            <w:r w:rsidRPr="00FD70F3">
              <w:rPr>
                <w:rFonts w:ascii="Times New Roman" w:hAnsi="Times New Roman" w:cs="Times New Roman"/>
                <w:sz w:val="14"/>
                <w:szCs w:val="20"/>
              </w:rPr>
              <w:t>IDR-SGD Volatility is Indonesia Rupiah to Singapore Dollar volatility.</w:t>
            </w:r>
          </w:p>
          <w:p w14:paraId="1C22CCF2" w14:textId="467F875E" w:rsidR="00FD70F3" w:rsidRPr="00FD70F3" w:rsidRDefault="00FD70F3" w:rsidP="00FD70F3">
            <w:pPr>
              <w:pStyle w:val="ListParagraph"/>
              <w:numPr>
                <w:ilvl w:val="0"/>
                <w:numId w:val="13"/>
              </w:numPr>
              <w:kinsoku w:val="0"/>
              <w:overflowPunct w:val="0"/>
              <w:autoSpaceDE w:val="0"/>
              <w:autoSpaceDN w:val="0"/>
              <w:adjustRightInd w:val="0"/>
              <w:spacing w:after="160"/>
              <w:ind w:left="197" w:hanging="180"/>
              <w:jc w:val="both"/>
              <w:rPr>
                <w:rFonts w:ascii="Times New Roman" w:hAnsi="Times New Roman" w:cs="Times New Roman"/>
                <w:sz w:val="14"/>
                <w:szCs w:val="20"/>
              </w:rPr>
            </w:pPr>
            <w:r w:rsidRPr="00FD70F3">
              <w:rPr>
                <w:rFonts w:ascii="Times New Roman" w:hAnsi="Times New Roman" w:cs="Times New Roman"/>
                <w:sz w:val="14"/>
                <w:szCs w:val="20"/>
              </w:rPr>
              <w:t>IDR-AUD Volatility is Indonesia Rupiah to Australia Dollar volatility.</w:t>
            </w:r>
          </w:p>
          <w:p w14:paraId="7E1D13FC" w14:textId="77777777" w:rsidR="00FD70F3" w:rsidRPr="00166854" w:rsidRDefault="00FD70F3" w:rsidP="00FD70F3">
            <w:pPr>
              <w:pStyle w:val="ListParagraph"/>
              <w:numPr>
                <w:ilvl w:val="0"/>
                <w:numId w:val="13"/>
              </w:numPr>
              <w:kinsoku w:val="0"/>
              <w:overflowPunct w:val="0"/>
              <w:autoSpaceDE w:val="0"/>
              <w:autoSpaceDN w:val="0"/>
              <w:adjustRightInd w:val="0"/>
              <w:ind w:left="197" w:hanging="180"/>
              <w:jc w:val="both"/>
              <w:rPr>
                <w:rFonts w:ascii="Times New Roman" w:hAnsi="Times New Roman" w:cs="Times New Roman"/>
                <w:sz w:val="14"/>
                <w:szCs w:val="20"/>
              </w:rPr>
            </w:pPr>
            <w:r w:rsidRPr="00166854">
              <w:rPr>
                <w:rFonts w:ascii="Times New Roman" w:hAnsi="Times New Roman" w:cs="Times New Roman"/>
                <w:sz w:val="14"/>
                <w:szCs w:val="20"/>
              </w:rPr>
              <w:t>IDR-GBP Volatility is Indonesia Rupiah to US British Pound Sterling volatility</w:t>
            </w:r>
            <w:r>
              <w:rPr>
                <w:rFonts w:ascii="Times New Roman" w:hAnsi="Times New Roman" w:cs="Times New Roman"/>
                <w:sz w:val="14"/>
                <w:szCs w:val="20"/>
              </w:rPr>
              <w:t>.</w:t>
            </w:r>
          </w:p>
          <w:p w14:paraId="1DC42992" w14:textId="0BFF9F7B" w:rsidR="00FD70F3" w:rsidRPr="00FD70F3" w:rsidRDefault="00FD70F3" w:rsidP="00FD70F3">
            <w:pPr>
              <w:pStyle w:val="ListParagraph"/>
              <w:numPr>
                <w:ilvl w:val="0"/>
                <w:numId w:val="13"/>
              </w:numPr>
              <w:kinsoku w:val="0"/>
              <w:overflowPunct w:val="0"/>
              <w:autoSpaceDE w:val="0"/>
              <w:autoSpaceDN w:val="0"/>
              <w:adjustRightInd w:val="0"/>
              <w:ind w:left="197" w:hanging="180"/>
              <w:jc w:val="both"/>
              <w:rPr>
                <w:rFonts w:ascii="Times New Roman" w:hAnsi="Times New Roman" w:cs="Times New Roman"/>
                <w:sz w:val="14"/>
                <w:szCs w:val="20"/>
              </w:rPr>
            </w:pPr>
            <w:r w:rsidRPr="00166854">
              <w:rPr>
                <w:rFonts w:ascii="Times New Roman" w:hAnsi="Times New Roman" w:cs="Times New Roman"/>
                <w:sz w:val="14"/>
                <w:szCs w:val="20"/>
              </w:rPr>
              <w:t>IDR-EURO Volatility is Indonesia Rupiah to EURO volatility</w:t>
            </w:r>
            <w:r>
              <w:rPr>
                <w:rFonts w:ascii="Times New Roman" w:hAnsi="Times New Roman" w:cs="Times New Roman"/>
                <w:sz w:val="14"/>
                <w:szCs w:val="20"/>
              </w:rPr>
              <w:t>.</w:t>
            </w:r>
          </w:p>
        </w:tc>
      </w:tr>
    </w:tbl>
    <w:p w14:paraId="02ADA483" w14:textId="572AC92C" w:rsidR="009A132C" w:rsidRDefault="009A132C" w:rsidP="009A132C">
      <w:pPr>
        <w:tabs>
          <w:tab w:val="left" w:pos="426"/>
        </w:tabs>
        <w:kinsoku w:val="0"/>
        <w:overflowPunct w:val="0"/>
        <w:autoSpaceDE w:val="0"/>
        <w:autoSpaceDN w:val="0"/>
        <w:spacing w:after="0" w:line="240" w:lineRule="auto"/>
        <w:jc w:val="both"/>
        <w:rPr>
          <w:rFonts w:ascii="Times New Roman" w:eastAsia="Palatino Linotype" w:hAnsi="Times New Roman" w:cs="Times New Roman"/>
          <w:b/>
          <w:i/>
          <w:iCs/>
          <w:sz w:val="20"/>
          <w:szCs w:val="20"/>
        </w:rPr>
      </w:pPr>
    </w:p>
    <w:p w14:paraId="52CA3D10" w14:textId="23313C25" w:rsidR="000854E4" w:rsidRPr="009A132C" w:rsidRDefault="009A132C" w:rsidP="009A132C">
      <w:pPr>
        <w:tabs>
          <w:tab w:val="left" w:pos="426"/>
        </w:tabs>
        <w:kinsoku w:val="0"/>
        <w:overflowPunct w:val="0"/>
        <w:autoSpaceDE w:val="0"/>
        <w:autoSpaceDN w:val="0"/>
        <w:spacing w:after="0" w:line="240" w:lineRule="auto"/>
        <w:jc w:val="both"/>
        <w:rPr>
          <w:rFonts w:ascii="Times New Roman" w:eastAsia="Palatino Linotype" w:hAnsi="Times New Roman" w:cs="Times New Roman"/>
          <w:i/>
          <w:iCs/>
          <w:sz w:val="20"/>
          <w:szCs w:val="20"/>
        </w:rPr>
      </w:pPr>
      <w:r w:rsidRPr="009A132C">
        <w:rPr>
          <w:rFonts w:ascii="Times New Roman" w:eastAsia="Palatino Linotype" w:hAnsi="Times New Roman" w:cs="Times New Roman"/>
          <w:i/>
          <w:iCs/>
          <w:sz w:val="20"/>
          <w:szCs w:val="20"/>
        </w:rPr>
        <w:t xml:space="preserve">4.2. </w:t>
      </w:r>
      <w:r w:rsidR="000854E4" w:rsidRPr="009A132C">
        <w:rPr>
          <w:rFonts w:ascii="Times New Roman" w:eastAsia="Palatino Linotype" w:hAnsi="Times New Roman" w:cs="Times New Roman"/>
          <w:i/>
          <w:iCs/>
          <w:sz w:val="20"/>
          <w:szCs w:val="20"/>
        </w:rPr>
        <w:t>ARDL Bound Test Cointegration</w:t>
      </w:r>
    </w:p>
    <w:p w14:paraId="33956535" w14:textId="4838E76B" w:rsidR="000854E4" w:rsidRPr="004B7B66" w:rsidRDefault="000854E4" w:rsidP="009A132C">
      <w:pPr>
        <w:pStyle w:val="ListParagraph"/>
        <w:tabs>
          <w:tab w:val="left" w:pos="426"/>
        </w:tabs>
        <w:kinsoku w:val="0"/>
        <w:overflowPunct w:val="0"/>
        <w:autoSpaceDE w:val="0"/>
        <w:autoSpaceDN w:val="0"/>
        <w:spacing w:after="0" w:line="240" w:lineRule="auto"/>
        <w:ind w:left="0" w:firstLine="360"/>
        <w:jc w:val="both"/>
        <w:rPr>
          <w:rFonts w:ascii="Times New Roman" w:eastAsia="Palatino Linotype" w:hAnsi="Times New Roman" w:cs="Times New Roman"/>
          <w:bCs/>
          <w:sz w:val="20"/>
          <w:szCs w:val="20"/>
        </w:rPr>
      </w:pPr>
      <w:r w:rsidRPr="004B7B66">
        <w:rPr>
          <w:rFonts w:ascii="Times New Roman" w:eastAsia="Palatino Linotype" w:hAnsi="Times New Roman" w:cs="Times New Roman"/>
          <w:bCs/>
          <w:sz w:val="20"/>
          <w:szCs w:val="20"/>
        </w:rPr>
        <w:t>The ARDL bound test was carried out to check long-run cointegration. In this test, the null hypothesis of no cointegration (</w:t>
      </w:r>
      <m:oMath>
        <m:sSub>
          <m:sSubPr>
            <m:ctrlPr>
              <w:rPr>
                <w:rFonts w:ascii="Cambria Math" w:eastAsia="Palatino Linotype" w:hAnsi="Cambria Math" w:cs="Times New Roman"/>
                <w:bCs/>
                <w:i/>
                <w:sz w:val="20"/>
                <w:szCs w:val="20"/>
              </w:rPr>
            </m:ctrlPr>
          </m:sSubPr>
          <m:e>
            <m:r>
              <w:rPr>
                <w:rFonts w:ascii="Cambria Math" w:eastAsia="Palatino Linotype" w:hAnsi="Cambria Math" w:cs="Times New Roman"/>
                <w:sz w:val="20"/>
                <w:szCs w:val="20"/>
              </w:rPr>
              <m:t>H</m:t>
            </m:r>
          </m:e>
          <m:sub>
            <m:r>
              <w:rPr>
                <w:rFonts w:ascii="Cambria Math" w:eastAsia="Palatino Linotype" w:hAnsi="Cambria Math" w:cs="Times New Roman"/>
                <w:sz w:val="20"/>
                <w:szCs w:val="20"/>
              </w:rPr>
              <m:t>0</m:t>
            </m:r>
          </m:sub>
        </m:sSub>
        <m:r>
          <w:rPr>
            <w:rFonts w:ascii="Cambria Math" w:eastAsia="Palatino Linotype" w:hAnsi="Cambria Math" w:cs="Times New Roman"/>
            <w:sz w:val="20"/>
            <w:szCs w:val="20"/>
          </w:rPr>
          <m:t xml:space="preserve"> : </m:t>
        </m:r>
        <m:sSub>
          <m:sSubPr>
            <m:ctrlPr>
              <w:rPr>
                <w:rFonts w:ascii="Cambria Math" w:eastAsia="Palatino Linotype" w:hAnsi="Cambria Math" w:cs="Times New Roman"/>
                <w:bCs/>
                <w:i/>
                <w:sz w:val="20"/>
                <w:szCs w:val="20"/>
              </w:rPr>
            </m:ctrlPr>
          </m:sSubPr>
          <m:e>
            <m:r>
              <w:rPr>
                <w:rFonts w:ascii="Cambria Math" w:eastAsia="Palatino Linotype" w:hAnsi="Cambria Math" w:cs="Times New Roman"/>
                <w:sz w:val="20"/>
                <w:szCs w:val="20"/>
              </w:rPr>
              <m:t>β</m:t>
            </m:r>
          </m:e>
          <m:sub>
            <m:r>
              <w:rPr>
                <w:rFonts w:ascii="Cambria Math" w:eastAsia="Palatino Linotype" w:hAnsi="Cambria Math" w:cs="Times New Roman"/>
                <w:sz w:val="20"/>
                <w:szCs w:val="20"/>
              </w:rPr>
              <m:t>0</m:t>
            </m:r>
          </m:sub>
        </m:sSub>
        <m:r>
          <w:rPr>
            <w:rFonts w:ascii="Cambria Math" w:eastAsia="Palatino Linotype" w:hAnsi="Cambria Math" w:cs="Times New Roman"/>
            <w:sz w:val="20"/>
            <w:szCs w:val="20"/>
          </w:rPr>
          <m:t xml:space="preserve">= </m:t>
        </m:r>
        <m:sSub>
          <m:sSubPr>
            <m:ctrlPr>
              <w:rPr>
                <w:rFonts w:ascii="Cambria Math" w:eastAsia="Palatino Linotype" w:hAnsi="Cambria Math" w:cs="Times New Roman"/>
                <w:bCs/>
                <w:i/>
                <w:sz w:val="20"/>
                <w:szCs w:val="20"/>
              </w:rPr>
            </m:ctrlPr>
          </m:sSubPr>
          <m:e>
            <m:r>
              <w:rPr>
                <w:rFonts w:ascii="Cambria Math" w:eastAsia="Palatino Linotype" w:hAnsi="Cambria Math" w:cs="Times New Roman"/>
                <w:sz w:val="20"/>
                <w:szCs w:val="20"/>
              </w:rPr>
              <m:t>β</m:t>
            </m:r>
          </m:e>
          <m:sub>
            <m:r>
              <w:rPr>
                <w:rFonts w:ascii="Cambria Math" w:eastAsia="Palatino Linotype" w:hAnsi="Cambria Math" w:cs="Times New Roman"/>
                <w:sz w:val="20"/>
                <w:szCs w:val="20"/>
              </w:rPr>
              <m:t>1</m:t>
            </m:r>
          </m:sub>
        </m:sSub>
        <m:r>
          <w:rPr>
            <w:rFonts w:ascii="Cambria Math" w:eastAsia="Palatino Linotype" w:hAnsi="Cambria Math" w:cs="Times New Roman"/>
            <w:sz w:val="20"/>
            <w:szCs w:val="20"/>
          </w:rPr>
          <m:t xml:space="preserve">= </m:t>
        </m:r>
        <m:sSub>
          <m:sSubPr>
            <m:ctrlPr>
              <w:rPr>
                <w:rFonts w:ascii="Cambria Math" w:eastAsia="Palatino Linotype" w:hAnsi="Cambria Math" w:cs="Times New Roman"/>
                <w:bCs/>
                <w:i/>
                <w:sz w:val="20"/>
                <w:szCs w:val="20"/>
              </w:rPr>
            </m:ctrlPr>
          </m:sSubPr>
          <m:e>
            <m:r>
              <w:rPr>
                <w:rFonts w:ascii="Cambria Math" w:eastAsia="Palatino Linotype" w:hAnsi="Cambria Math" w:cs="Times New Roman"/>
                <w:sz w:val="20"/>
                <w:szCs w:val="20"/>
              </w:rPr>
              <m:t>β</m:t>
            </m:r>
          </m:e>
          <m:sub>
            <m:r>
              <w:rPr>
                <w:rFonts w:ascii="Cambria Math" w:eastAsia="Palatino Linotype" w:hAnsi="Cambria Math" w:cs="Times New Roman"/>
                <w:sz w:val="20"/>
                <w:szCs w:val="20"/>
              </w:rPr>
              <m:t>2</m:t>
            </m:r>
          </m:sub>
        </m:sSub>
        <m:r>
          <w:rPr>
            <w:rFonts w:ascii="Cambria Math" w:eastAsia="Palatino Linotype" w:hAnsi="Cambria Math" w:cs="Times New Roman"/>
            <w:sz w:val="20"/>
            <w:szCs w:val="20"/>
          </w:rPr>
          <m:t xml:space="preserve">= </m:t>
        </m:r>
        <m:sSub>
          <m:sSubPr>
            <m:ctrlPr>
              <w:rPr>
                <w:rFonts w:ascii="Cambria Math" w:eastAsia="Palatino Linotype" w:hAnsi="Cambria Math" w:cs="Times New Roman"/>
                <w:bCs/>
                <w:i/>
                <w:sz w:val="20"/>
                <w:szCs w:val="20"/>
              </w:rPr>
            </m:ctrlPr>
          </m:sSubPr>
          <m:e>
            <m:r>
              <w:rPr>
                <w:rFonts w:ascii="Cambria Math" w:eastAsia="Palatino Linotype" w:hAnsi="Cambria Math" w:cs="Times New Roman"/>
                <w:sz w:val="20"/>
                <w:szCs w:val="20"/>
              </w:rPr>
              <m:t>β</m:t>
            </m:r>
          </m:e>
          <m:sub>
            <m:r>
              <w:rPr>
                <w:rFonts w:ascii="Cambria Math" w:eastAsia="Palatino Linotype" w:hAnsi="Cambria Math" w:cs="Times New Roman"/>
                <w:sz w:val="20"/>
                <w:szCs w:val="20"/>
              </w:rPr>
              <m:t>3</m:t>
            </m:r>
          </m:sub>
        </m:sSub>
        <m:r>
          <w:rPr>
            <w:rFonts w:ascii="Cambria Math" w:eastAsia="Palatino Linotype" w:hAnsi="Cambria Math" w:cs="Times New Roman"/>
            <w:sz w:val="20"/>
            <w:szCs w:val="20"/>
          </w:rPr>
          <m:t>=</m:t>
        </m:r>
        <m:sSub>
          <m:sSubPr>
            <m:ctrlPr>
              <w:rPr>
                <w:rFonts w:ascii="Cambria Math" w:eastAsia="Palatino Linotype" w:hAnsi="Cambria Math" w:cs="Times New Roman"/>
                <w:bCs/>
                <w:i/>
                <w:sz w:val="20"/>
                <w:szCs w:val="20"/>
              </w:rPr>
            </m:ctrlPr>
          </m:sSubPr>
          <m:e>
            <m:r>
              <w:rPr>
                <w:rFonts w:ascii="Cambria Math" w:eastAsia="Palatino Linotype" w:hAnsi="Cambria Math" w:cs="Times New Roman"/>
                <w:sz w:val="20"/>
                <w:szCs w:val="20"/>
              </w:rPr>
              <m:t>β</m:t>
            </m:r>
          </m:e>
          <m:sub>
            <m:r>
              <w:rPr>
                <w:rFonts w:ascii="Cambria Math" w:eastAsia="Palatino Linotype" w:hAnsi="Cambria Math" w:cs="Times New Roman"/>
                <w:sz w:val="20"/>
                <w:szCs w:val="20"/>
              </w:rPr>
              <m:t>4</m:t>
            </m:r>
          </m:sub>
        </m:sSub>
        <m:r>
          <w:rPr>
            <w:rFonts w:ascii="Cambria Math" w:eastAsia="Palatino Linotype" w:hAnsi="Cambria Math" w:cs="Times New Roman"/>
            <w:sz w:val="20"/>
            <w:szCs w:val="20"/>
          </w:rPr>
          <m:t xml:space="preserve">=0 </m:t>
        </m:r>
      </m:oMath>
      <w:r w:rsidRPr="004B7B66">
        <w:rPr>
          <w:rFonts w:ascii="Times New Roman" w:eastAsia="Palatino Linotype" w:hAnsi="Times New Roman" w:cs="Times New Roman"/>
          <w:bCs/>
          <w:sz w:val="20"/>
          <w:szCs w:val="20"/>
        </w:rPr>
        <w:t>) against the alternative hypothesis (</w:t>
      </w:r>
      <m:oMath>
        <m:sSub>
          <m:sSubPr>
            <m:ctrlPr>
              <w:rPr>
                <w:rFonts w:ascii="Cambria Math" w:eastAsia="Palatino Linotype" w:hAnsi="Cambria Math" w:cs="Times New Roman"/>
                <w:bCs/>
                <w:i/>
                <w:sz w:val="20"/>
                <w:szCs w:val="20"/>
              </w:rPr>
            </m:ctrlPr>
          </m:sSubPr>
          <m:e>
            <m:r>
              <w:rPr>
                <w:rFonts w:ascii="Cambria Math" w:eastAsia="Palatino Linotype" w:hAnsi="Cambria Math" w:cs="Times New Roman"/>
                <w:sz w:val="20"/>
                <w:szCs w:val="20"/>
              </w:rPr>
              <m:t>H</m:t>
            </m:r>
          </m:e>
          <m:sub>
            <m:r>
              <w:rPr>
                <w:rFonts w:ascii="Cambria Math" w:eastAsia="Palatino Linotype" w:hAnsi="Cambria Math" w:cs="Times New Roman"/>
                <w:sz w:val="20"/>
                <w:szCs w:val="20"/>
              </w:rPr>
              <m:t>1</m:t>
            </m:r>
          </m:sub>
        </m:sSub>
        <m:r>
          <w:rPr>
            <w:rFonts w:ascii="Cambria Math" w:eastAsia="Palatino Linotype" w:hAnsi="Cambria Math" w:cs="Times New Roman"/>
            <w:sz w:val="20"/>
            <w:szCs w:val="20"/>
          </w:rPr>
          <m:t xml:space="preserve"> : </m:t>
        </m:r>
        <m:sSub>
          <m:sSubPr>
            <m:ctrlPr>
              <w:rPr>
                <w:rFonts w:ascii="Cambria Math" w:eastAsia="Palatino Linotype" w:hAnsi="Cambria Math" w:cs="Times New Roman"/>
                <w:bCs/>
                <w:i/>
                <w:sz w:val="20"/>
                <w:szCs w:val="20"/>
              </w:rPr>
            </m:ctrlPr>
          </m:sSubPr>
          <m:e>
            <m:r>
              <w:rPr>
                <w:rFonts w:ascii="Cambria Math" w:eastAsia="Palatino Linotype" w:hAnsi="Cambria Math" w:cs="Times New Roman"/>
                <w:sz w:val="20"/>
                <w:szCs w:val="20"/>
              </w:rPr>
              <m:t>β</m:t>
            </m:r>
          </m:e>
          <m:sub>
            <m:r>
              <w:rPr>
                <w:rFonts w:ascii="Cambria Math" w:eastAsia="Palatino Linotype" w:hAnsi="Cambria Math" w:cs="Times New Roman"/>
                <w:sz w:val="20"/>
                <w:szCs w:val="20"/>
              </w:rPr>
              <m:t>0</m:t>
            </m:r>
          </m:sub>
        </m:sSub>
        <m:r>
          <w:rPr>
            <w:rFonts w:ascii="Cambria Math" w:eastAsia="Palatino Linotype" w:hAnsi="Cambria Math" w:cs="Times New Roman"/>
            <w:sz w:val="20"/>
            <w:szCs w:val="20"/>
          </w:rPr>
          <m:t xml:space="preserve">= </m:t>
        </m:r>
        <m:sSub>
          <m:sSubPr>
            <m:ctrlPr>
              <w:rPr>
                <w:rFonts w:ascii="Cambria Math" w:eastAsia="Palatino Linotype" w:hAnsi="Cambria Math" w:cs="Times New Roman"/>
                <w:bCs/>
                <w:i/>
                <w:sz w:val="20"/>
                <w:szCs w:val="20"/>
              </w:rPr>
            </m:ctrlPr>
          </m:sSubPr>
          <m:e>
            <m:r>
              <w:rPr>
                <w:rFonts w:ascii="Cambria Math" w:eastAsia="Palatino Linotype" w:hAnsi="Cambria Math" w:cs="Times New Roman"/>
                <w:sz w:val="20"/>
                <w:szCs w:val="20"/>
              </w:rPr>
              <m:t>β</m:t>
            </m:r>
          </m:e>
          <m:sub>
            <m:r>
              <w:rPr>
                <w:rFonts w:ascii="Cambria Math" w:eastAsia="Palatino Linotype" w:hAnsi="Cambria Math" w:cs="Times New Roman"/>
                <w:sz w:val="20"/>
                <w:szCs w:val="20"/>
              </w:rPr>
              <m:t>1</m:t>
            </m:r>
          </m:sub>
        </m:sSub>
        <m:r>
          <w:rPr>
            <w:rFonts w:ascii="Cambria Math" w:eastAsia="Palatino Linotype" w:hAnsi="Cambria Math" w:cs="Times New Roman"/>
            <w:sz w:val="20"/>
            <w:szCs w:val="20"/>
          </w:rPr>
          <m:t xml:space="preserve">= </m:t>
        </m:r>
        <m:sSub>
          <m:sSubPr>
            <m:ctrlPr>
              <w:rPr>
                <w:rFonts w:ascii="Cambria Math" w:eastAsia="Palatino Linotype" w:hAnsi="Cambria Math" w:cs="Times New Roman"/>
                <w:bCs/>
                <w:i/>
                <w:sz w:val="20"/>
                <w:szCs w:val="20"/>
              </w:rPr>
            </m:ctrlPr>
          </m:sSubPr>
          <m:e>
            <m:r>
              <w:rPr>
                <w:rFonts w:ascii="Cambria Math" w:eastAsia="Palatino Linotype" w:hAnsi="Cambria Math" w:cs="Times New Roman"/>
                <w:sz w:val="20"/>
                <w:szCs w:val="20"/>
              </w:rPr>
              <m:t>β</m:t>
            </m:r>
          </m:e>
          <m:sub>
            <m:r>
              <w:rPr>
                <w:rFonts w:ascii="Cambria Math" w:eastAsia="Palatino Linotype" w:hAnsi="Cambria Math" w:cs="Times New Roman"/>
                <w:sz w:val="20"/>
                <w:szCs w:val="20"/>
              </w:rPr>
              <m:t>2</m:t>
            </m:r>
          </m:sub>
        </m:sSub>
        <m:r>
          <w:rPr>
            <w:rFonts w:ascii="Cambria Math" w:eastAsia="Palatino Linotype" w:hAnsi="Cambria Math" w:cs="Times New Roman"/>
            <w:sz w:val="20"/>
            <w:szCs w:val="20"/>
          </w:rPr>
          <m:t xml:space="preserve">= </m:t>
        </m:r>
        <m:sSub>
          <m:sSubPr>
            <m:ctrlPr>
              <w:rPr>
                <w:rFonts w:ascii="Cambria Math" w:eastAsia="Palatino Linotype" w:hAnsi="Cambria Math" w:cs="Times New Roman"/>
                <w:bCs/>
                <w:i/>
                <w:sz w:val="20"/>
                <w:szCs w:val="20"/>
              </w:rPr>
            </m:ctrlPr>
          </m:sSubPr>
          <m:e>
            <m:r>
              <w:rPr>
                <w:rFonts w:ascii="Cambria Math" w:eastAsia="Palatino Linotype" w:hAnsi="Cambria Math" w:cs="Times New Roman"/>
                <w:sz w:val="20"/>
                <w:szCs w:val="20"/>
              </w:rPr>
              <m:t>β</m:t>
            </m:r>
          </m:e>
          <m:sub>
            <m:r>
              <w:rPr>
                <w:rFonts w:ascii="Cambria Math" w:eastAsia="Palatino Linotype" w:hAnsi="Cambria Math" w:cs="Times New Roman"/>
                <w:sz w:val="20"/>
                <w:szCs w:val="20"/>
              </w:rPr>
              <m:t>3</m:t>
            </m:r>
          </m:sub>
        </m:sSub>
        <m:r>
          <w:rPr>
            <w:rFonts w:ascii="Cambria Math" w:eastAsia="Palatino Linotype" w:hAnsi="Cambria Math" w:cs="Times New Roman"/>
            <w:sz w:val="20"/>
            <w:szCs w:val="20"/>
          </w:rPr>
          <m:t xml:space="preserve">=  </m:t>
        </m:r>
        <m:sSub>
          <m:sSubPr>
            <m:ctrlPr>
              <w:rPr>
                <w:rFonts w:ascii="Cambria Math" w:eastAsia="Palatino Linotype" w:hAnsi="Cambria Math" w:cs="Times New Roman"/>
                <w:bCs/>
                <w:i/>
                <w:sz w:val="20"/>
                <w:szCs w:val="20"/>
              </w:rPr>
            </m:ctrlPr>
          </m:sSubPr>
          <m:e>
            <m:r>
              <w:rPr>
                <w:rFonts w:ascii="Cambria Math" w:eastAsia="Palatino Linotype" w:hAnsi="Cambria Math" w:cs="Times New Roman"/>
                <w:sz w:val="20"/>
                <w:szCs w:val="20"/>
              </w:rPr>
              <m:t>β</m:t>
            </m:r>
          </m:e>
          <m:sub>
            <m:r>
              <w:rPr>
                <w:rFonts w:ascii="Cambria Math" w:eastAsia="Palatino Linotype" w:hAnsi="Cambria Math" w:cs="Times New Roman"/>
                <w:sz w:val="20"/>
                <w:szCs w:val="20"/>
              </w:rPr>
              <m:t>4</m:t>
            </m:r>
          </m:sub>
        </m:sSub>
        <m:r>
          <w:rPr>
            <w:rFonts w:ascii="Cambria Math" w:eastAsia="Palatino Linotype" w:hAnsi="Cambria Math" w:cs="Times New Roman"/>
            <w:sz w:val="20"/>
            <w:szCs w:val="20"/>
          </w:rPr>
          <m:t xml:space="preserve">=0 </m:t>
        </m:r>
      </m:oMath>
      <w:r w:rsidRPr="004B7B66">
        <w:rPr>
          <w:rFonts w:ascii="Times New Roman" w:eastAsia="Palatino Linotype" w:hAnsi="Times New Roman" w:cs="Times New Roman"/>
          <w:bCs/>
          <w:sz w:val="20"/>
          <w:szCs w:val="20"/>
        </w:rPr>
        <w:t>) was used.  Also</w:t>
      </w:r>
      <w:r w:rsidR="00ED4E2A">
        <w:rPr>
          <w:rFonts w:ascii="Times New Roman" w:eastAsia="Palatino Linotype" w:hAnsi="Times New Roman" w:cs="Times New Roman"/>
          <w:bCs/>
          <w:sz w:val="20"/>
          <w:szCs w:val="20"/>
        </w:rPr>
        <w:t>,</w:t>
      </w:r>
      <w:r w:rsidRPr="004B7B66">
        <w:rPr>
          <w:rFonts w:ascii="Times New Roman" w:eastAsia="Palatino Linotype" w:hAnsi="Times New Roman" w:cs="Times New Roman"/>
          <w:bCs/>
          <w:sz w:val="20"/>
          <w:szCs w:val="20"/>
        </w:rPr>
        <w:t xml:space="preserve"> the F statistic value calculated by the model in </w:t>
      </w:r>
      <w:hyperlink w:anchor="PoundE1" w:history="1">
        <w:r w:rsidRPr="00785FE7">
          <w:rPr>
            <w:rStyle w:val="Hyperlink"/>
            <w:rFonts w:ascii="Times New Roman" w:eastAsia="Palatino Linotype" w:hAnsi="Times New Roman" w:cs="Times New Roman"/>
            <w:bCs/>
            <w:sz w:val="20"/>
            <w:szCs w:val="20"/>
            <w:u w:val="none"/>
          </w:rPr>
          <w:t>Eq</w:t>
        </w:r>
        <w:r w:rsidR="00785FE7" w:rsidRPr="00785FE7">
          <w:rPr>
            <w:rStyle w:val="Hyperlink"/>
            <w:rFonts w:ascii="Times New Roman" w:eastAsia="Palatino Linotype" w:hAnsi="Times New Roman" w:cs="Times New Roman"/>
            <w:bCs/>
            <w:sz w:val="20"/>
            <w:szCs w:val="20"/>
            <w:u w:val="none"/>
          </w:rPr>
          <w:t>uation</w:t>
        </w:r>
        <w:r w:rsidRPr="00785FE7">
          <w:rPr>
            <w:rStyle w:val="Hyperlink"/>
            <w:rFonts w:ascii="Times New Roman" w:eastAsia="Palatino Linotype" w:hAnsi="Times New Roman" w:cs="Times New Roman"/>
            <w:bCs/>
            <w:sz w:val="20"/>
            <w:szCs w:val="20"/>
            <w:u w:val="none"/>
          </w:rPr>
          <w:t xml:space="preserve"> </w:t>
        </w:r>
        <w:r w:rsidR="00785FE7" w:rsidRPr="00785FE7">
          <w:rPr>
            <w:rStyle w:val="Hyperlink"/>
            <w:rFonts w:ascii="Times New Roman" w:eastAsia="Palatino Linotype" w:hAnsi="Times New Roman" w:cs="Times New Roman"/>
            <w:bCs/>
            <w:sz w:val="20"/>
            <w:szCs w:val="20"/>
            <w:u w:val="none"/>
          </w:rPr>
          <w:t>1</w:t>
        </w:r>
      </w:hyperlink>
      <w:r w:rsidRPr="004B7B66">
        <w:rPr>
          <w:rFonts w:ascii="Times New Roman" w:eastAsia="Palatino Linotype" w:hAnsi="Times New Roman" w:cs="Times New Roman"/>
          <w:bCs/>
          <w:sz w:val="20"/>
          <w:szCs w:val="20"/>
        </w:rPr>
        <w:t xml:space="preserve"> compared to </w:t>
      </w:r>
      <w:r w:rsidR="00ED4E2A">
        <w:rPr>
          <w:rFonts w:ascii="Times New Roman" w:eastAsia="Palatino Linotype" w:hAnsi="Times New Roman" w:cs="Times New Roman"/>
          <w:bCs/>
          <w:sz w:val="20"/>
          <w:szCs w:val="20"/>
        </w:rPr>
        <w:t xml:space="preserve">the </w:t>
      </w:r>
      <w:r w:rsidRPr="004B7B66">
        <w:rPr>
          <w:rFonts w:ascii="Times New Roman" w:eastAsia="Palatino Linotype" w:hAnsi="Times New Roman" w:cs="Times New Roman"/>
          <w:bCs/>
          <w:sz w:val="20"/>
          <w:szCs w:val="20"/>
        </w:rPr>
        <w:t xml:space="preserve">critical value of the F statistic. If the F statistic </w:t>
      </w:r>
      <w:r w:rsidR="00ED4E2A">
        <w:rPr>
          <w:rFonts w:ascii="Times New Roman" w:eastAsia="Palatino Linotype" w:hAnsi="Times New Roman" w:cs="Times New Roman"/>
          <w:bCs/>
          <w:sz w:val="20"/>
          <w:szCs w:val="20"/>
        </w:rPr>
        <w:t xml:space="preserve">is </w:t>
      </w:r>
      <w:r w:rsidRPr="004B7B66">
        <w:rPr>
          <w:rFonts w:ascii="Times New Roman" w:eastAsia="Palatino Linotype" w:hAnsi="Times New Roman" w:cs="Times New Roman"/>
          <w:bCs/>
          <w:sz w:val="20"/>
          <w:szCs w:val="20"/>
        </w:rPr>
        <w:t xml:space="preserve">higher than the upper bound, then we reject the null hypothesis. </w:t>
      </w:r>
    </w:p>
    <w:p w14:paraId="5FE95014" w14:textId="676BDCC9" w:rsidR="00293371" w:rsidRPr="004B7B66" w:rsidRDefault="00293371" w:rsidP="00293371">
      <w:pPr>
        <w:pStyle w:val="ListParagraph"/>
        <w:tabs>
          <w:tab w:val="left" w:pos="426"/>
        </w:tabs>
        <w:kinsoku w:val="0"/>
        <w:overflowPunct w:val="0"/>
        <w:autoSpaceDE w:val="0"/>
        <w:autoSpaceDN w:val="0"/>
        <w:spacing w:after="0" w:line="240" w:lineRule="auto"/>
        <w:ind w:left="0" w:firstLine="360"/>
        <w:jc w:val="both"/>
        <w:rPr>
          <w:rFonts w:ascii="Times New Roman" w:hAnsi="Times New Roman" w:cs="Times New Roman"/>
          <w:sz w:val="20"/>
          <w:szCs w:val="20"/>
        </w:rPr>
      </w:pPr>
      <w:r w:rsidRPr="004B7B66">
        <w:rPr>
          <w:rFonts w:ascii="Times New Roman" w:hAnsi="Times New Roman" w:cs="Times New Roman"/>
          <w:sz w:val="20"/>
          <w:szCs w:val="20"/>
        </w:rPr>
        <w:t xml:space="preserve">The results in </w:t>
      </w:r>
      <w:hyperlink w:anchor="Table2" w:history="1">
        <w:r w:rsidRPr="002E3A5C">
          <w:rPr>
            <w:rStyle w:val="Hyperlink"/>
            <w:rFonts w:ascii="Times New Roman" w:hAnsi="Times New Roman" w:cs="Times New Roman"/>
            <w:sz w:val="20"/>
            <w:szCs w:val="20"/>
            <w:u w:val="none"/>
          </w:rPr>
          <w:t xml:space="preserve">Table </w:t>
        </w:r>
        <w:r w:rsidR="001D4F79" w:rsidRPr="002E3A5C">
          <w:rPr>
            <w:rStyle w:val="Hyperlink"/>
            <w:rFonts w:ascii="Times New Roman" w:hAnsi="Times New Roman" w:cs="Times New Roman"/>
            <w:sz w:val="20"/>
            <w:szCs w:val="20"/>
            <w:u w:val="none"/>
          </w:rPr>
          <w:t>2</w:t>
        </w:r>
      </w:hyperlink>
      <w:r w:rsidRPr="004B7B66">
        <w:rPr>
          <w:rFonts w:ascii="Times New Roman" w:hAnsi="Times New Roman" w:cs="Times New Roman"/>
          <w:sz w:val="20"/>
          <w:szCs w:val="20"/>
        </w:rPr>
        <w:t xml:space="preserve"> showed that the F statistic is higher than the value of </w:t>
      </w:r>
      <w:r w:rsidR="00ED4E2A">
        <w:rPr>
          <w:rFonts w:ascii="Times New Roman" w:hAnsi="Times New Roman" w:cs="Times New Roman"/>
          <w:sz w:val="20"/>
          <w:szCs w:val="20"/>
        </w:rPr>
        <w:t xml:space="preserve">the </w:t>
      </w:r>
      <w:r w:rsidRPr="004B7B66">
        <w:rPr>
          <w:rFonts w:ascii="Times New Roman" w:hAnsi="Times New Roman" w:cs="Times New Roman"/>
          <w:sz w:val="20"/>
          <w:szCs w:val="20"/>
        </w:rPr>
        <w:t xml:space="preserve">upper bound. Therefore, the null hypothesis is rejected and there is a long-run relationship between variables in </w:t>
      </w:r>
      <w:r w:rsidR="00E6762D">
        <w:rPr>
          <w:rFonts w:ascii="Times New Roman" w:hAnsi="Times New Roman" w:cs="Times New Roman"/>
          <w:sz w:val="20"/>
          <w:szCs w:val="20"/>
        </w:rPr>
        <w:t xml:space="preserve">the </w:t>
      </w:r>
      <w:r w:rsidRPr="004B7B66">
        <w:rPr>
          <w:rFonts w:ascii="Times New Roman" w:hAnsi="Times New Roman" w:cs="Times New Roman"/>
          <w:sz w:val="20"/>
          <w:szCs w:val="20"/>
        </w:rPr>
        <w:t>five models.</w:t>
      </w:r>
    </w:p>
    <w:p w14:paraId="0558664B" w14:textId="5C45C60E" w:rsidR="000854E4" w:rsidRPr="00293371" w:rsidRDefault="000854E4" w:rsidP="00293371">
      <w:pPr>
        <w:tabs>
          <w:tab w:val="left" w:pos="426"/>
        </w:tabs>
        <w:kinsoku w:val="0"/>
        <w:overflowPunct w:val="0"/>
        <w:autoSpaceDE w:val="0"/>
        <w:autoSpaceDN w:val="0"/>
        <w:spacing w:after="0" w:line="240" w:lineRule="auto"/>
        <w:jc w:val="both"/>
        <w:rPr>
          <w:rFonts w:ascii="Times New Roman" w:eastAsia="Palatino Linotype" w:hAnsi="Times New Roman" w:cs="Times New Roman"/>
          <w:bCs/>
          <w:sz w:val="20"/>
          <w:szCs w:val="20"/>
        </w:rPr>
      </w:pPr>
    </w:p>
    <w:p w14:paraId="7BCBEBB6" w14:textId="38C803FC" w:rsidR="00293371" w:rsidRDefault="00293371" w:rsidP="004B7B66">
      <w:pPr>
        <w:pStyle w:val="ListParagraph"/>
        <w:tabs>
          <w:tab w:val="left" w:pos="426"/>
        </w:tabs>
        <w:kinsoku w:val="0"/>
        <w:overflowPunct w:val="0"/>
        <w:autoSpaceDE w:val="0"/>
        <w:autoSpaceDN w:val="0"/>
        <w:spacing w:after="0" w:line="240" w:lineRule="auto"/>
        <w:ind w:left="0" w:firstLine="284"/>
        <w:jc w:val="both"/>
        <w:rPr>
          <w:rFonts w:ascii="Times New Roman" w:eastAsia="Palatino Linotype" w:hAnsi="Times New Roman" w:cs="Times New Roman"/>
          <w:bCs/>
          <w:sz w:val="20"/>
          <w:szCs w:val="20"/>
        </w:rPr>
      </w:pPr>
    </w:p>
    <w:p w14:paraId="6C4DAA6B" w14:textId="7A8FBCD5" w:rsidR="00D80887" w:rsidRDefault="00D80887" w:rsidP="004B7B66">
      <w:pPr>
        <w:pStyle w:val="ListParagraph"/>
        <w:tabs>
          <w:tab w:val="left" w:pos="426"/>
        </w:tabs>
        <w:kinsoku w:val="0"/>
        <w:overflowPunct w:val="0"/>
        <w:autoSpaceDE w:val="0"/>
        <w:autoSpaceDN w:val="0"/>
        <w:spacing w:after="0" w:line="240" w:lineRule="auto"/>
        <w:ind w:left="0" w:firstLine="284"/>
        <w:jc w:val="both"/>
        <w:rPr>
          <w:rFonts w:ascii="Times New Roman" w:eastAsia="Palatino Linotype" w:hAnsi="Times New Roman" w:cs="Times New Roman"/>
          <w:bCs/>
          <w:sz w:val="20"/>
          <w:szCs w:val="20"/>
        </w:rPr>
      </w:pPr>
    </w:p>
    <w:p w14:paraId="774C4238" w14:textId="43954E83" w:rsidR="00D80887" w:rsidRDefault="00D80887" w:rsidP="004B7B66">
      <w:pPr>
        <w:pStyle w:val="ListParagraph"/>
        <w:tabs>
          <w:tab w:val="left" w:pos="426"/>
        </w:tabs>
        <w:kinsoku w:val="0"/>
        <w:overflowPunct w:val="0"/>
        <w:autoSpaceDE w:val="0"/>
        <w:autoSpaceDN w:val="0"/>
        <w:spacing w:after="0" w:line="240" w:lineRule="auto"/>
        <w:ind w:left="0" w:firstLine="284"/>
        <w:jc w:val="both"/>
        <w:rPr>
          <w:rFonts w:ascii="Times New Roman" w:eastAsia="Palatino Linotype" w:hAnsi="Times New Roman" w:cs="Times New Roman"/>
          <w:bCs/>
          <w:sz w:val="20"/>
          <w:szCs w:val="20"/>
        </w:rPr>
      </w:pPr>
    </w:p>
    <w:p w14:paraId="51F1CE48" w14:textId="44838011" w:rsidR="00D80887" w:rsidRDefault="00D80887" w:rsidP="004B7B66">
      <w:pPr>
        <w:pStyle w:val="ListParagraph"/>
        <w:tabs>
          <w:tab w:val="left" w:pos="426"/>
        </w:tabs>
        <w:kinsoku w:val="0"/>
        <w:overflowPunct w:val="0"/>
        <w:autoSpaceDE w:val="0"/>
        <w:autoSpaceDN w:val="0"/>
        <w:spacing w:after="0" w:line="240" w:lineRule="auto"/>
        <w:ind w:left="0" w:firstLine="284"/>
        <w:jc w:val="both"/>
        <w:rPr>
          <w:rFonts w:ascii="Times New Roman" w:eastAsia="Palatino Linotype" w:hAnsi="Times New Roman" w:cs="Times New Roman"/>
          <w:bCs/>
          <w:sz w:val="20"/>
          <w:szCs w:val="20"/>
        </w:rPr>
      </w:pPr>
    </w:p>
    <w:p w14:paraId="03D4D2D6" w14:textId="7731571E" w:rsidR="00D80887" w:rsidRDefault="00D80887" w:rsidP="004B7B66">
      <w:pPr>
        <w:pStyle w:val="ListParagraph"/>
        <w:tabs>
          <w:tab w:val="left" w:pos="426"/>
        </w:tabs>
        <w:kinsoku w:val="0"/>
        <w:overflowPunct w:val="0"/>
        <w:autoSpaceDE w:val="0"/>
        <w:autoSpaceDN w:val="0"/>
        <w:spacing w:after="0" w:line="240" w:lineRule="auto"/>
        <w:ind w:left="0" w:firstLine="284"/>
        <w:jc w:val="both"/>
        <w:rPr>
          <w:rFonts w:ascii="Times New Roman" w:eastAsia="Palatino Linotype" w:hAnsi="Times New Roman" w:cs="Times New Roman"/>
          <w:bCs/>
          <w:sz w:val="20"/>
          <w:szCs w:val="20"/>
        </w:rPr>
      </w:pPr>
    </w:p>
    <w:p w14:paraId="3AE82198" w14:textId="77777777" w:rsidR="00FC4A9A" w:rsidRDefault="00FC4A9A" w:rsidP="004B7B66">
      <w:pPr>
        <w:pStyle w:val="ListParagraph"/>
        <w:tabs>
          <w:tab w:val="left" w:pos="426"/>
        </w:tabs>
        <w:kinsoku w:val="0"/>
        <w:overflowPunct w:val="0"/>
        <w:autoSpaceDE w:val="0"/>
        <w:autoSpaceDN w:val="0"/>
        <w:spacing w:after="0" w:line="240" w:lineRule="auto"/>
        <w:ind w:left="0" w:firstLine="284"/>
        <w:jc w:val="both"/>
        <w:rPr>
          <w:rFonts w:ascii="Times New Roman" w:eastAsia="Palatino Linotype" w:hAnsi="Times New Roman" w:cs="Times New Roman"/>
          <w:bCs/>
          <w:sz w:val="20"/>
          <w:szCs w:val="20"/>
        </w:rPr>
      </w:pPr>
    </w:p>
    <w:p w14:paraId="0765B05D" w14:textId="632BA52B" w:rsidR="00293371" w:rsidRDefault="00293371" w:rsidP="004B7B66">
      <w:pPr>
        <w:pStyle w:val="ListParagraph"/>
        <w:tabs>
          <w:tab w:val="left" w:pos="426"/>
        </w:tabs>
        <w:kinsoku w:val="0"/>
        <w:overflowPunct w:val="0"/>
        <w:autoSpaceDE w:val="0"/>
        <w:autoSpaceDN w:val="0"/>
        <w:spacing w:after="0" w:line="240" w:lineRule="auto"/>
        <w:ind w:left="0" w:firstLine="284"/>
        <w:jc w:val="both"/>
        <w:rPr>
          <w:rFonts w:ascii="Times New Roman" w:eastAsia="Palatino Linotype" w:hAnsi="Times New Roman" w:cs="Times New Roman"/>
          <w:bCs/>
          <w:sz w:val="20"/>
          <w:szCs w:val="20"/>
        </w:rPr>
      </w:pPr>
    </w:p>
    <w:p w14:paraId="1C6C441B" w14:textId="007D7F5A" w:rsidR="00293371" w:rsidRDefault="00293371" w:rsidP="004B7B66">
      <w:pPr>
        <w:pStyle w:val="ListParagraph"/>
        <w:tabs>
          <w:tab w:val="left" w:pos="426"/>
        </w:tabs>
        <w:kinsoku w:val="0"/>
        <w:overflowPunct w:val="0"/>
        <w:autoSpaceDE w:val="0"/>
        <w:autoSpaceDN w:val="0"/>
        <w:spacing w:after="0" w:line="240" w:lineRule="auto"/>
        <w:ind w:left="0" w:firstLine="284"/>
        <w:jc w:val="both"/>
        <w:rPr>
          <w:rFonts w:ascii="Times New Roman" w:eastAsia="Palatino Linotype" w:hAnsi="Times New Roman" w:cs="Times New Roman"/>
          <w:bCs/>
          <w:sz w:val="20"/>
          <w:szCs w:val="20"/>
        </w:rPr>
      </w:pPr>
    </w:p>
    <w:p w14:paraId="698B545E" w14:textId="21308E97" w:rsidR="00293371" w:rsidRDefault="00293371" w:rsidP="004B7B66">
      <w:pPr>
        <w:pStyle w:val="ListParagraph"/>
        <w:tabs>
          <w:tab w:val="left" w:pos="426"/>
        </w:tabs>
        <w:kinsoku w:val="0"/>
        <w:overflowPunct w:val="0"/>
        <w:autoSpaceDE w:val="0"/>
        <w:autoSpaceDN w:val="0"/>
        <w:spacing w:after="0" w:line="240" w:lineRule="auto"/>
        <w:ind w:left="0" w:firstLine="284"/>
        <w:jc w:val="both"/>
        <w:rPr>
          <w:rFonts w:ascii="Times New Roman" w:eastAsia="Palatino Linotype" w:hAnsi="Times New Roman" w:cs="Times New Roman"/>
          <w:bCs/>
          <w:sz w:val="20"/>
          <w:szCs w:val="20"/>
        </w:rPr>
      </w:pPr>
    </w:p>
    <w:p w14:paraId="0247F127" w14:textId="6F339AE8" w:rsidR="007C6DEB" w:rsidRDefault="000854E4" w:rsidP="007C6DEB">
      <w:pPr>
        <w:pStyle w:val="ListParagraph"/>
        <w:tabs>
          <w:tab w:val="left" w:pos="426"/>
        </w:tabs>
        <w:kinsoku w:val="0"/>
        <w:overflowPunct w:val="0"/>
        <w:autoSpaceDE w:val="0"/>
        <w:autoSpaceDN w:val="0"/>
        <w:spacing w:after="0" w:line="240" w:lineRule="auto"/>
        <w:ind w:left="360"/>
        <w:rPr>
          <w:rFonts w:ascii="Times New Roman" w:eastAsia="Palatino Linotype" w:hAnsi="Times New Roman" w:cs="Times New Roman"/>
          <w:b/>
          <w:sz w:val="16"/>
          <w:szCs w:val="20"/>
        </w:rPr>
      </w:pPr>
      <w:bookmarkStart w:id="10" w:name="Table2"/>
      <w:r w:rsidRPr="009A132C">
        <w:rPr>
          <w:rFonts w:ascii="Times New Roman" w:eastAsia="Palatino Linotype" w:hAnsi="Times New Roman" w:cs="Times New Roman"/>
          <w:b/>
          <w:sz w:val="16"/>
          <w:szCs w:val="20"/>
        </w:rPr>
        <w:lastRenderedPageBreak/>
        <w:t xml:space="preserve">Table </w:t>
      </w:r>
      <w:r w:rsidR="001D4F79">
        <w:rPr>
          <w:rFonts w:ascii="Times New Roman" w:eastAsia="Palatino Linotype" w:hAnsi="Times New Roman" w:cs="Times New Roman"/>
          <w:b/>
          <w:sz w:val="16"/>
          <w:szCs w:val="20"/>
        </w:rPr>
        <w:t>2</w:t>
      </w:r>
      <w:bookmarkEnd w:id="10"/>
      <w:r w:rsidR="009A132C" w:rsidRPr="009A132C">
        <w:rPr>
          <w:rFonts w:ascii="Times New Roman" w:eastAsia="Palatino Linotype" w:hAnsi="Times New Roman" w:cs="Times New Roman"/>
          <w:b/>
          <w:sz w:val="16"/>
          <w:szCs w:val="20"/>
        </w:rPr>
        <w:t>.</w:t>
      </w:r>
      <w:r w:rsidRPr="009A132C">
        <w:rPr>
          <w:rFonts w:ascii="Times New Roman" w:eastAsia="Palatino Linotype" w:hAnsi="Times New Roman" w:cs="Times New Roman"/>
          <w:b/>
          <w:sz w:val="16"/>
          <w:szCs w:val="20"/>
        </w:rPr>
        <w:t xml:space="preserve"> </w:t>
      </w:r>
    </w:p>
    <w:p w14:paraId="2B58FC07" w14:textId="271C4320" w:rsidR="000854E4" w:rsidRPr="009A132C" w:rsidRDefault="000854E4" w:rsidP="007C6DEB">
      <w:pPr>
        <w:pStyle w:val="ListParagraph"/>
        <w:tabs>
          <w:tab w:val="left" w:pos="426"/>
        </w:tabs>
        <w:kinsoku w:val="0"/>
        <w:overflowPunct w:val="0"/>
        <w:autoSpaceDE w:val="0"/>
        <w:autoSpaceDN w:val="0"/>
        <w:spacing w:after="0" w:line="240" w:lineRule="auto"/>
        <w:ind w:left="360"/>
        <w:rPr>
          <w:rFonts w:ascii="Times New Roman" w:eastAsia="Palatino Linotype" w:hAnsi="Times New Roman" w:cs="Times New Roman"/>
          <w:sz w:val="16"/>
          <w:szCs w:val="20"/>
        </w:rPr>
      </w:pPr>
      <w:r w:rsidRPr="009A132C">
        <w:rPr>
          <w:rFonts w:ascii="Times New Roman" w:eastAsia="Palatino Linotype" w:hAnsi="Times New Roman" w:cs="Times New Roman"/>
          <w:sz w:val="16"/>
          <w:szCs w:val="20"/>
        </w:rPr>
        <w:t>Bound Test</w:t>
      </w:r>
      <w:r w:rsidR="009A132C" w:rsidRPr="009A132C">
        <w:rPr>
          <w:rFonts w:ascii="Times New Roman" w:eastAsia="Palatino Linotype" w:hAnsi="Times New Roman" w:cs="Times New Roman"/>
          <w:sz w:val="16"/>
          <w:szCs w:val="20"/>
        </w:rPr>
        <w:t>.</w:t>
      </w:r>
    </w:p>
    <w:tbl>
      <w:tblPr>
        <w:tblW w:w="9161" w:type="dxa"/>
        <w:tblInd w:w="284"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021"/>
        <w:gridCol w:w="796"/>
        <w:gridCol w:w="795"/>
        <w:gridCol w:w="795"/>
        <w:gridCol w:w="797"/>
        <w:gridCol w:w="797"/>
        <w:gridCol w:w="797"/>
        <w:gridCol w:w="797"/>
        <w:gridCol w:w="566"/>
      </w:tblGrid>
      <w:tr w:rsidR="000854E4" w:rsidRPr="004B7B66" w14:paraId="5DAA75EA" w14:textId="77777777" w:rsidTr="007C6DEB">
        <w:trPr>
          <w:trHeight w:val="448"/>
        </w:trPr>
        <w:tc>
          <w:tcPr>
            <w:tcW w:w="9161" w:type="dxa"/>
            <w:gridSpan w:val="9"/>
            <w:vAlign w:val="center"/>
          </w:tcPr>
          <w:p w14:paraId="0FC9558A" w14:textId="77777777" w:rsidR="000854E4" w:rsidRPr="004B7B66"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bCs/>
                <w:sz w:val="20"/>
                <w:szCs w:val="20"/>
              </w:rPr>
            </w:pPr>
            <w:r w:rsidRPr="004853CE">
              <w:rPr>
                <w:rFonts w:ascii="Times New Roman" w:eastAsia="Palatino Linotype" w:hAnsi="Times New Roman" w:cs="Times New Roman"/>
                <w:b/>
                <w:bCs/>
                <w:sz w:val="20"/>
                <w:szCs w:val="20"/>
              </w:rPr>
              <w:t>Model 1.</w:t>
            </w:r>
            <w:r w:rsidRPr="004B7B66">
              <w:rPr>
                <w:rFonts w:ascii="Times New Roman" w:eastAsia="Palatino Linotype" w:hAnsi="Times New Roman" w:cs="Times New Roman"/>
                <w:bCs/>
                <w:sz w:val="20"/>
                <w:szCs w:val="20"/>
              </w:rPr>
              <w:t xml:space="preserve"> Dependent Variable IDR-USD Volatility</w:t>
            </w:r>
          </w:p>
          <w:p w14:paraId="39E33D11" w14:textId="77777777" w:rsidR="000854E4" w:rsidRPr="004B7B66"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bCs/>
                <w:sz w:val="20"/>
                <w:szCs w:val="20"/>
              </w:rPr>
            </w:pPr>
            <w:r w:rsidRPr="004853CE">
              <w:rPr>
                <w:rFonts w:ascii="Times New Roman" w:eastAsia="Palatino Linotype" w:hAnsi="Times New Roman" w:cs="Times New Roman"/>
                <w:b/>
                <w:bCs/>
                <w:sz w:val="20"/>
                <w:szCs w:val="20"/>
              </w:rPr>
              <w:t>Null Hypothesis:</w:t>
            </w:r>
            <w:r w:rsidRPr="004B7B66">
              <w:rPr>
                <w:rFonts w:ascii="Times New Roman" w:eastAsia="Palatino Linotype" w:hAnsi="Times New Roman" w:cs="Times New Roman"/>
                <w:bCs/>
                <w:sz w:val="20"/>
                <w:szCs w:val="20"/>
              </w:rPr>
              <w:t xml:space="preserve"> No level relationship</w:t>
            </w:r>
          </w:p>
        </w:tc>
      </w:tr>
      <w:tr w:rsidR="000854E4" w:rsidRPr="004B7B66" w14:paraId="59336C4C" w14:textId="77777777" w:rsidTr="007C6DEB">
        <w:trPr>
          <w:trHeight w:val="60"/>
        </w:trPr>
        <w:tc>
          <w:tcPr>
            <w:tcW w:w="3021" w:type="dxa"/>
            <w:vMerge w:val="restart"/>
            <w:vAlign w:val="center"/>
          </w:tcPr>
          <w:p w14:paraId="6F7A6972" w14:textId="77777777" w:rsidR="000854E4" w:rsidRPr="00776F87" w:rsidRDefault="000854E4" w:rsidP="00776F87">
            <w:pPr>
              <w:pStyle w:val="ListParagraph"/>
              <w:tabs>
                <w:tab w:val="left" w:pos="426"/>
              </w:tabs>
              <w:kinsoku w:val="0"/>
              <w:overflowPunct w:val="0"/>
              <w:autoSpaceDE w:val="0"/>
              <w:autoSpaceDN w:val="0"/>
              <w:spacing w:after="0" w:line="240" w:lineRule="auto"/>
              <w:ind w:left="0"/>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ARDL Bound Testing Cointegration</w:t>
            </w:r>
          </w:p>
        </w:tc>
        <w:tc>
          <w:tcPr>
            <w:tcW w:w="1591" w:type="dxa"/>
            <w:gridSpan w:val="2"/>
            <w:vAlign w:val="center"/>
          </w:tcPr>
          <w:p w14:paraId="462C39A4"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10%</w:t>
            </w:r>
          </w:p>
        </w:tc>
        <w:tc>
          <w:tcPr>
            <w:tcW w:w="1592" w:type="dxa"/>
            <w:gridSpan w:val="2"/>
            <w:vAlign w:val="center"/>
          </w:tcPr>
          <w:p w14:paraId="29AC32E7"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5%</w:t>
            </w:r>
          </w:p>
        </w:tc>
        <w:tc>
          <w:tcPr>
            <w:tcW w:w="1594" w:type="dxa"/>
            <w:gridSpan w:val="2"/>
            <w:vAlign w:val="center"/>
          </w:tcPr>
          <w:p w14:paraId="4E299817"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2.5%</w:t>
            </w:r>
          </w:p>
        </w:tc>
        <w:tc>
          <w:tcPr>
            <w:tcW w:w="1363" w:type="dxa"/>
            <w:gridSpan w:val="2"/>
            <w:vAlign w:val="center"/>
          </w:tcPr>
          <w:p w14:paraId="2CBC91D5"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1%</w:t>
            </w:r>
          </w:p>
        </w:tc>
      </w:tr>
      <w:tr w:rsidR="000854E4" w:rsidRPr="004B7B66" w14:paraId="088FD453" w14:textId="77777777" w:rsidTr="007C6DEB">
        <w:trPr>
          <w:trHeight w:val="285"/>
        </w:trPr>
        <w:tc>
          <w:tcPr>
            <w:tcW w:w="3021" w:type="dxa"/>
            <w:vMerge/>
            <w:vAlign w:val="center"/>
          </w:tcPr>
          <w:p w14:paraId="24CE8A3C"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p>
        </w:tc>
        <w:tc>
          <w:tcPr>
            <w:tcW w:w="796" w:type="dxa"/>
            <w:vAlign w:val="center"/>
          </w:tcPr>
          <w:p w14:paraId="2299E57B"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5" w:type="dxa"/>
            <w:vAlign w:val="center"/>
          </w:tcPr>
          <w:p w14:paraId="050576AE"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5" w:type="dxa"/>
            <w:vAlign w:val="center"/>
          </w:tcPr>
          <w:p w14:paraId="3DA6A044"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7" w:type="dxa"/>
            <w:vAlign w:val="center"/>
          </w:tcPr>
          <w:p w14:paraId="3C5F2D3D"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7" w:type="dxa"/>
            <w:vAlign w:val="center"/>
          </w:tcPr>
          <w:p w14:paraId="2A576384"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7" w:type="dxa"/>
            <w:vAlign w:val="center"/>
          </w:tcPr>
          <w:p w14:paraId="75917712"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7" w:type="dxa"/>
            <w:vAlign w:val="center"/>
          </w:tcPr>
          <w:p w14:paraId="6891EF9D"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566" w:type="dxa"/>
            <w:vAlign w:val="bottom"/>
          </w:tcPr>
          <w:p w14:paraId="41A24076"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r>
      <w:tr w:rsidR="000854E4" w:rsidRPr="004B7B66" w14:paraId="519DF0B0" w14:textId="77777777" w:rsidTr="007C6DEB">
        <w:trPr>
          <w:trHeight w:val="60"/>
        </w:trPr>
        <w:tc>
          <w:tcPr>
            <w:tcW w:w="3021" w:type="dxa"/>
            <w:vAlign w:val="center"/>
          </w:tcPr>
          <w:p w14:paraId="4293E10A" w14:textId="2A076166"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F-statistic: 6.2130</w:t>
            </w:r>
            <w:r w:rsidR="007C6DEB" w:rsidRPr="00776F87">
              <w:rPr>
                <w:rFonts w:ascii="Times New Roman" w:eastAsia="Palatino Linotype" w:hAnsi="Times New Roman" w:cs="Times New Roman"/>
                <w:sz w:val="20"/>
                <w:szCs w:val="20"/>
              </w:rPr>
              <w:t xml:space="preserve"> </w:t>
            </w:r>
            <w:r w:rsidRPr="00776F87">
              <w:rPr>
                <w:rFonts w:ascii="Times New Roman" w:eastAsia="Palatino Linotype" w:hAnsi="Times New Roman" w:cs="Times New Roman"/>
                <w:sz w:val="20"/>
                <w:szCs w:val="20"/>
              </w:rPr>
              <w:t>K: 4</w:t>
            </w:r>
          </w:p>
        </w:tc>
        <w:tc>
          <w:tcPr>
            <w:tcW w:w="796" w:type="dxa"/>
            <w:vAlign w:val="center"/>
          </w:tcPr>
          <w:p w14:paraId="3E2D1E91"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1.9</w:t>
            </w:r>
          </w:p>
        </w:tc>
        <w:tc>
          <w:tcPr>
            <w:tcW w:w="795" w:type="dxa"/>
            <w:vAlign w:val="center"/>
          </w:tcPr>
          <w:p w14:paraId="63FA63A9"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3.01</w:t>
            </w:r>
          </w:p>
        </w:tc>
        <w:tc>
          <w:tcPr>
            <w:tcW w:w="795" w:type="dxa"/>
            <w:vAlign w:val="center"/>
          </w:tcPr>
          <w:p w14:paraId="17CE3312"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2.26</w:t>
            </w:r>
          </w:p>
        </w:tc>
        <w:tc>
          <w:tcPr>
            <w:tcW w:w="797" w:type="dxa"/>
            <w:vAlign w:val="center"/>
          </w:tcPr>
          <w:p w14:paraId="5C8A09DC"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3.48</w:t>
            </w:r>
          </w:p>
        </w:tc>
        <w:tc>
          <w:tcPr>
            <w:tcW w:w="797" w:type="dxa"/>
            <w:vAlign w:val="center"/>
          </w:tcPr>
          <w:p w14:paraId="36A93256"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2.62</w:t>
            </w:r>
          </w:p>
        </w:tc>
        <w:tc>
          <w:tcPr>
            <w:tcW w:w="797" w:type="dxa"/>
            <w:vAlign w:val="center"/>
          </w:tcPr>
          <w:p w14:paraId="13FCD8EC"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3.9</w:t>
            </w:r>
          </w:p>
        </w:tc>
        <w:tc>
          <w:tcPr>
            <w:tcW w:w="797" w:type="dxa"/>
            <w:vAlign w:val="center"/>
          </w:tcPr>
          <w:p w14:paraId="661A9ABE"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3.07</w:t>
            </w:r>
          </w:p>
        </w:tc>
        <w:tc>
          <w:tcPr>
            <w:tcW w:w="566" w:type="dxa"/>
            <w:vAlign w:val="center"/>
          </w:tcPr>
          <w:p w14:paraId="25AF5007"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4.44</w:t>
            </w:r>
          </w:p>
        </w:tc>
      </w:tr>
      <w:tr w:rsidR="000854E4" w:rsidRPr="004B7B66" w14:paraId="47C928D7" w14:textId="77777777" w:rsidTr="007C6DEB">
        <w:tc>
          <w:tcPr>
            <w:tcW w:w="9161" w:type="dxa"/>
            <w:gridSpan w:val="9"/>
            <w:vAlign w:val="center"/>
          </w:tcPr>
          <w:p w14:paraId="06DDCC1C"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 xml:space="preserve">Model 2. Dependent Variable IDR-SGD Volatility </w:t>
            </w:r>
          </w:p>
          <w:p w14:paraId="05EBF2AA"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 xml:space="preserve">Null Hypothesis: No level relationship </w:t>
            </w:r>
          </w:p>
        </w:tc>
      </w:tr>
      <w:tr w:rsidR="000854E4" w:rsidRPr="004B7B66" w14:paraId="6F8F7166" w14:textId="77777777" w:rsidTr="007C6DEB">
        <w:tc>
          <w:tcPr>
            <w:tcW w:w="3021" w:type="dxa"/>
            <w:vMerge w:val="restart"/>
            <w:vAlign w:val="center"/>
          </w:tcPr>
          <w:p w14:paraId="0B30AC15" w14:textId="77777777" w:rsidR="000854E4" w:rsidRPr="00776F87" w:rsidRDefault="000854E4" w:rsidP="00776F87">
            <w:pPr>
              <w:pStyle w:val="ListParagraph"/>
              <w:tabs>
                <w:tab w:val="left" w:pos="426"/>
              </w:tabs>
              <w:kinsoku w:val="0"/>
              <w:overflowPunct w:val="0"/>
              <w:autoSpaceDE w:val="0"/>
              <w:autoSpaceDN w:val="0"/>
              <w:spacing w:after="0" w:line="240" w:lineRule="auto"/>
              <w:ind w:left="0"/>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ARDL Bound Testing Cointegration</w:t>
            </w:r>
          </w:p>
        </w:tc>
        <w:tc>
          <w:tcPr>
            <w:tcW w:w="1591" w:type="dxa"/>
            <w:gridSpan w:val="2"/>
            <w:vAlign w:val="center"/>
          </w:tcPr>
          <w:p w14:paraId="65464B49"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10%</w:t>
            </w:r>
          </w:p>
        </w:tc>
        <w:tc>
          <w:tcPr>
            <w:tcW w:w="1592" w:type="dxa"/>
            <w:gridSpan w:val="2"/>
            <w:vAlign w:val="center"/>
          </w:tcPr>
          <w:p w14:paraId="54C32F6C"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5%</w:t>
            </w:r>
          </w:p>
        </w:tc>
        <w:tc>
          <w:tcPr>
            <w:tcW w:w="1594" w:type="dxa"/>
            <w:gridSpan w:val="2"/>
            <w:vAlign w:val="center"/>
          </w:tcPr>
          <w:p w14:paraId="5EFF1E65"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2.5%</w:t>
            </w:r>
          </w:p>
        </w:tc>
        <w:tc>
          <w:tcPr>
            <w:tcW w:w="1363" w:type="dxa"/>
            <w:gridSpan w:val="2"/>
            <w:vAlign w:val="center"/>
          </w:tcPr>
          <w:p w14:paraId="7C3DF290"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1%</w:t>
            </w:r>
          </w:p>
        </w:tc>
      </w:tr>
      <w:tr w:rsidR="000854E4" w:rsidRPr="004B7B66" w14:paraId="63A945FB" w14:textId="77777777" w:rsidTr="007C6DEB">
        <w:tc>
          <w:tcPr>
            <w:tcW w:w="3021" w:type="dxa"/>
            <w:vMerge/>
            <w:vAlign w:val="center"/>
          </w:tcPr>
          <w:p w14:paraId="6CFE5641"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p>
        </w:tc>
        <w:tc>
          <w:tcPr>
            <w:tcW w:w="796" w:type="dxa"/>
            <w:vAlign w:val="center"/>
          </w:tcPr>
          <w:p w14:paraId="743FF3B8"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5" w:type="dxa"/>
            <w:vAlign w:val="center"/>
          </w:tcPr>
          <w:p w14:paraId="5475E0A4"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5" w:type="dxa"/>
            <w:vAlign w:val="center"/>
          </w:tcPr>
          <w:p w14:paraId="4937C4BA"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7" w:type="dxa"/>
            <w:vAlign w:val="center"/>
          </w:tcPr>
          <w:p w14:paraId="7B82E28B"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7" w:type="dxa"/>
            <w:vAlign w:val="center"/>
          </w:tcPr>
          <w:p w14:paraId="6739D991"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7" w:type="dxa"/>
            <w:vAlign w:val="center"/>
          </w:tcPr>
          <w:p w14:paraId="315C7F3F"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7" w:type="dxa"/>
            <w:vAlign w:val="center"/>
          </w:tcPr>
          <w:p w14:paraId="448A591F"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566" w:type="dxa"/>
            <w:vAlign w:val="center"/>
          </w:tcPr>
          <w:p w14:paraId="0A89CDCF"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r>
      <w:tr w:rsidR="000854E4" w:rsidRPr="004B7B66" w14:paraId="7BFD199C" w14:textId="77777777" w:rsidTr="007C6DEB">
        <w:tc>
          <w:tcPr>
            <w:tcW w:w="3021" w:type="dxa"/>
            <w:vAlign w:val="center"/>
          </w:tcPr>
          <w:p w14:paraId="6FEE8878"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F-statistic: 6.7029</w:t>
            </w:r>
          </w:p>
          <w:p w14:paraId="2CF65F14"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K: 4</w:t>
            </w:r>
          </w:p>
        </w:tc>
        <w:tc>
          <w:tcPr>
            <w:tcW w:w="796" w:type="dxa"/>
            <w:vAlign w:val="center"/>
          </w:tcPr>
          <w:p w14:paraId="02AA42EF"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2.2</w:t>
            </w:r>
          </w:p>
        </w:tc>
        <w:tc>
          <w:tcPr>
            <w:tcW w:w="795" w:type="dxa"/>
            <w:vAlign w:val="center"/>
          </w:tcPr>
          <w:p w14:paraId="58D674EF"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3.09</w:t>
            </w:r>
          </w:p>
        </w:tc>
        <w:tc>
          <w:tcPr>
            <w:tcW w:w="795" w:type="dxa"/>
            <w:vAlign w:val="center"/>
          </w:tcPr>
          <w:p w14:paraId="3650D1D0"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2.56</w:t>
            </w:r>
          </w:p>
        </w:tc>
        <w:tc>
          <w:tcPr>
            <w:tcW w:w="797" w:type="dxa"/>
            <w:vAlign w:val="center"/>
          </w:tcPr>
          <w:p w14:paraId="558DF300"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3.49</w:t>
            </w:r>
          </w:p>
        </w:tc>
        <w:tc>
          <w:tcPr>
            <w:tcW w:w="797" w:type="dxa"/>
            <w:vAlign w:val="center"/>
          </w:tcPr>
          <w:p w14:paraId="41B02A0E"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2.88</w:t>
            </w:r>
          </w:p>
        </w:tc>
        <w:tc>
          <w:tcPr>
            <w:tcW w:w="797" w:type="dxa"/>
            <w:vAlign w:val="center"/>
          </w:tcPr>
          <w:p w14:paraId="1E4A39DF"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3.87</w:t>
            </w:r>
          </w:p>
        </w:tc>
        <w:tc>
          <w:tcPr>
            <w:tcW w:w="797" w:type="dxa"/>
            <w:vAlign w:val="center"/>
          </w:tcPr>
          <w:p w14:paraId="209AF13C"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3.29</w:t>
            </w:r>
          </w:p>
        </w:tc>
        <w:tc>
          <w:tcPr>
            <w:tcW w:w="566" w:type="dxa"/>
            <w:vAlign w:val="center"/>
          </w:tcPr>
          <w:p w14:paraId="732560BD"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4.37</w:t>
            </w:r>
          </w:p>
        </w:tc>
      </w:tr>
      <w:tr w:rsidR="000854E4" w:rsidRPr="004B7B66" w14:paraId="09444314" w14:textId="77777777" w:rsidTr="007C6DEB">
        <w:tc>
          <w:tcPr>
            <w:tcW w:w="9161" w:type="dxa"/>
            <w:gridSpan w:val="9"/>
            <w:vAlign w:val="center"/>
          </w:tcPr>
          <w:p w14:paraId="5F1D013C"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 xml:space="preserve">Model 3. Dependent Variable IDR-AUD Volatility </w:t>
            </w:r>
          </w:p>
          <w:p w14:paraId="76C54711"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 xml:space="preserve">Null Hypothesis: No level relationship </w:t>
            </w:r>
          </w:p>
        </w:tc>
      </w:tr>
      <w:tr w:rsidR="000854E4" w:rsidRPr="004B7B66" w14:paraId="6F35409E" w14:textId="77777777" w:rsidTr="007C6DEB">
        <w:tc>
          <w:tcPr>
            <w:tcW w:w="3021" w:type="dxa"/>
            <w:vMerge w:val="restart"/>
            <w:vAlign w:val="center"/>
          </w:tcPr>
          <w:p w14:paraId="1ACDF8F6" w14:textId="77777777" w:rsidR="000854E4" w:rsidRPr="00776F87" w:rsidRDefault="000854E4" w:rsidP="00776F87">
            <w:pPr>
              <w:pStyle w:val="ListParagraph"/>
              <w:tabs>
                <w:tab w:val="left" w:pos="426"/>
              </w:tabs>
              <w:kinsoku w:val="0"/>
              <w:overflowPunct w:val="0"/>
              <w:autoSpaceDE w:val="0"/>
              <w:autoSpaceDN w:val="0"/>
              <w:spacing w:after="0" w:line="240" w:lineRule="auto"/>
              <w:ind w:left="0"/>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ARDL Bound Testing Cointegration</w:t>
            </w:r>
          </w:p>
        </w:tc>
        <w:tc>
          <w:tcPr>
            <w:tcW w:w="1591" w:type="dxa"/>
            <w:gridSpan w:val="2"/>
            <w:vAlign w:val="center"/>
          </w:tcPr>
          <w:p w14:paraId="6AD4ACA9"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10%</w:t>
            </w:r>
          </w:p>
        </w:tc>
        <w:tc>
          <w:tcPr>
            <w:tcW w:w="1592" w:type="dxa"/>
            <w:gridSpan w:val="2"/>
            <w:vAlign w:val="center"/>
          </w:tcPr>
          <w:p w14:paraId="7BF0D18B"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5%</w:t>
            </w:r>
          </w:p>
        </w:tc>
        <w:tc>
          <w:tcPr>
            <w:tcW w:w="1594" w:type="dxa"/>
            <w:gridSpan w:val="2"/>
            <w:vAlign w:val="center"/>
          </w:tcPr>
          <w:p w14:paraId="60A3AEF7"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2.5%</w:t>
            </w:r>
          </w:p>
        </w:tc>
        <w:tc>
          <w:tcPr>
            <w:tcW w:w="1363" w:type="dxa"/>
            <w:gridSpan w:val="2"/>
            <w:vAlign w:val="center"/>
          </w:tcPr>
          <w:p w14:paraId="027C221C"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1%</w:t>
            </w:r>
          </w:p>
        </w:tc>
      </w:tr>
      <w:tr w:rsidR="000854E4" w:rsidRPr="004B7B66" w14:paraId="31C46124" w14:textId="77777777" w:rsidTr="007C6DEB">
        <w:tc>
          <w:tcPr>
            <w:tcW w:w="3021" w:type="dxa"/>
            <w:vMerge/>
            <w:vAlign w:val="center"/>
          </w:tcPr>
          <w:p w14:paraId="68FCF34C"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p>
        </w:tc>
        <w:tc>
          <w:tcPr>
            <w:tcW w:w="796" w:type="dxa"/>
            <w:vAlign w:val="center"/>
          </w:tcPr>
          <w:p w14:paraId="4B0E8BCB"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5" w:type="dxa"/>
            <w:vAlign w:val="center"/>
          </w:tcPr>
          <w:p w14:paraId="0815B4C7"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5" w:type="dxa"/>
            <w:vAlign w:val="center"/>
          </w:tcPr>
          <w:p w14:paraId="43C4FB74"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7" w:type="dxa"/>
            <w:vAlign w:val="center"/>
          </w:tcPr>
          <w:p w14:paraId="76EF5DB7"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7" w:type="dxa"/>
            <w:vAlign w:val="center"/>
          </w:tcPr>
          <w:p w14:paraId="57EB27BF"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7" w:type="dxa"/>
            <w:vAlign w:val="center"/>
          </w:tcPr>
          <w:p w14:paraId="7360A45F"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7" w:type="dxa"/>
            <w:vAlign w:val="center"/>
          </w:tcPr>
          <w:p w14:paraId="5D8ED67B"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566" w:type="dxa"/>
            <w:vAlign w:val="center"/>
          </w:tcPr>
          <w:p w14:paraId="4BC72432" w14:textId="77777777" w:rsidR="000854E4" w:rsidRPr="00776F87" w:rsidRDefault="000854E4" w:rsidP="00FC4A9A">
            <w:pPr>
              <w:pStyle w:val="ListParagraph"/>
              <w:tabs>
                <w:tab w:val="left" w:pos="585"/>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r>
      <w:tr w:rsidR="000854E4" w:rsidRPr="004B7B66" w14:paraId="597EA3CD" w14:textId="77777777" w:rsidTr="007C6DEB">
        <w:tc>
          <w:tcPr>
            <w:tcW w:w="3021" w:type="dxa"/>
            <w:vAlign w:val="center"/>
          </w:tcPr>
          <w:p w14:paraId="55CF66C9"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F-statistic: 6.9245</w:t>
            </w:r>
          </w:p>
          <w:p w14:paraId="10A71C84"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K: 4</w:t>
            </w:r>
          </w:p>
        </w:tc>
        <w:tc>
          <w:tcPr>
            <w:tcW w:w="796" w:type="dxa"/>
            <w:vAlign w:val="center"/>
          </w:tcPr>
          <w:p w14:paraId="75FDB237"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2.45</w:t>
            </w:r>
          </w:p>
        </w:tc>
        <w:tc>
          <w:tcPr>
            <w:tcW w:w="795" w:type="dxa"/>
            <w:vAlign w:val="center"/>
          </w:tcPr>
          <w:p w14:paraId="20AAE603"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3.52</w:t>
            </w:r>
          </w:p>
        </w:tc>
        <w:tc>
          <w:tcPr>
            <w:tcW w:w="795" w:type="dxa"/>
            <w:vAlign w:val="center"/>
          </w:tcPr>
          <w:p w14:paraId="5746C8A5"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2.86</w:t>
            </w:r>
          </w:p>
        </w:tc>
        <w:tc>
          <w:tcPr>
            <w:tcW w:w="797" w:type="dxa"/>
            <w:vAlign w:val="center"/>
          </w:tcPr>
          <w:p w14:paraId="518C4DB0"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4.01</w:t>
            </w:r>
          </w:p>
        </w:tc>
        <w:tc>
          <w:tcPr>
            <w:tcW w:w="797" w:type="dxa"/>
            <w:vAlign w:val="center"/>
          </w:tcPr>
          <w:p w14:paraId="0E8D3A6C"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3.25</w:t>
            </w:r>
          </w:p>
        </w:tc>
        <w:tc>
          <w:tcPr>
            <w:tcW w:w="797" w:type="dxa"/>
            <w:vAlign w:val="center"/>
          </w:tcPr>
          <w:p w14:paraId="5B0700C6"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4.49</w:t>
            </w:r>
          </w:p>
        </w:tc>
        <w:tc>
          <w:tcPr>
            <w:tcW w:w="797" w:type="dxa"/>
            <w:vAlign w:val="center"/>
          </w:tcPr>
          <w:p w14:paraId="36B586F8"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3.74</w:t>
            </w:r>
          </w:p>
        </w:tc>
        <w:tc>
          <w:tcPr>
            <w:tcW w:w="566" w:type="dxa"/>
            <w:vAlign w:val="center"/>
          </w:tcPr>
          <w:p w14:paraId="6D07A62B"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5.06</w:t>
            </w:r>
          </w:p>
        </w:tc>
      </w:tr>
      <w:tr w:rsidR="000854E4" w:rsidRPr="004B7B66" w14:paraId="023797B5" w14:textId="77777777" w:rsidTr="007C6DEB">
        <w:tc>
          <w:tcPr>
            <w:tcW w:w="9161" w:type="dxa"/>
            <w:gridSpan w:val="9"/>
            <w:vAlign w:val="center"/>
          </w:tcPr>
          <w:p w14:paraId="373610C7"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Model 4. Dependent Variable IDR-GBP Volatility</w:t>
            </w:r>
          </w:p>
          <w:p w14:paraId="302E7B29"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Null Hypothesis: No level relationship</w:t>
            </w:r>
          </w:p>
        </w:tc>
      </w:tr>
      <w:tr w:rsidR="000854E4" w:rsidRPr="004B7B66" w14:paraId="4DC74085" w14:textId="77777777" w:rsidTr="007C6DEB">
        <w:tc>
          <w:tcPr>
            <w:tcW w:w="3021" w:type="dxa"/>
            <w:vMerge w:val="restart"/>
            <w:vAlign w:val="center"/>
          </w:tcPr>
          <w:p w14:paraId="29C3BCFE" w14:textId="77777777" w:rsidR="000854E4" w:rsidRPr="00776F87" w:rsidRDefault="000854E4" w:rsidP="00776F87">
            <w:pPr>
              <w:pStyle w:val="ListParagraph"/>
              <w:tabs>
                <w:tab w:val="left" w:pos="426"/>
              </w:tabs>
              <w:kinsoku w:val="0"/>
              <w:overflowPunct w:val="0"/>
              <w:autoSpaceDE w:val="0"/>
              <w:autoSpaceDN w:val="0"/>
              <w:spacing w:after="0" w:line="240" w:lineRule="auto"/>
              <w:ind w:left="0"/>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ARDL Bound Testing Cointegration</w:t>
            </w:r>
          </w:p>
        </w:tc>
        <w:tc>
          <w:tcPr>
            <w:tcW w:w="1591" w:type="dxa"/>
            <w:gridSpan w:val="2"/>
            <w:vAlign w:val="center"/>
          </w:tcPr>
          <w:p w14:paraId="553625A1"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10%</w:t>
            </w:r>
          </w:p>
        </w:tc>
        <w:tc>
          <w:tcPr>
            <w:tcW w:w="1592" w:type="dxa"/>
            <w:gridSpan w:val="2"/>
            <w:vAlign w:val="center"/>
          </w:tcPr>
          <w:p w14:paraId="194E7BAA"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5%</w:t>
            </w:r>
          </w:p>
        </w:tc>
        <w:tc>
          <w:tcPr>
            <w:tcW w:w="1594" w:type="dxa"/>
            <w:gridSpan w:val="2"/>
            <w:vAlign w:val="center"/>
          </w:tcPr>
          <w:p w14:paraId="72EAEAFE"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1%</w:t>
            </w:r>
          </w:p>
        </w:tc>
        <w:tc>
          <w:tcPr>
            <w:tcW w:w="1363" w:type="dxa"/>
            <w:gridSpan w:val="2"/>
            <w:vAlign w:val="center"/>
          </w:tcPr>
          <w:p w14:paraId="394601FE"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p-value</w:t>
            </w:r>
          </w:p>
        </w:tc>
      </w:tr>
      <w:tr w:rsidR="000854E4" w:rsidRPr="004B7B66" w14:paraId="26601B69" w14:textId="77777777" w:rsidTr="007C6DEB">
        <w:tc>
          <w:tcPr>
            <w:tcW w:w="3021" w:type="dxa"/>
            <w:vMerge/>
            <w:vAlign w:val="center"/>
          </w:tcPr>
          <w:p w14:paraId="70030096"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p>
        </w:tc>
        <w:tc>
          <w:tcPr>
            <w:tcW w:w="796" w:type="dxa"/>
            <w:vAlign w:val="center"/>
          </w:tcPr>
          <w:p w14:paraId="3E3A6544"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5" w:type="dxa"/>
            <w:vAlign w:val="center"/>
          </w:tcPr>
          <w:p w14:paraId="614BB565"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5" w:type="dxa"/>
            <w:vAlign w:val="center"/>
          </w:tcPr>
          <w:p w14:paraId="307ADFC6"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7" w:type="dxa"/>
            <w:vAlign w:val="center"/>
          </w:tcPr>
          <w:p w14:paraId="74E780F9"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7" w:type="dxa"/>
            <w:vAlign w:val="center"/>
          </w:tcPr>
          <w:p w14:paraId="704BCCAF"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7" w:type="dxa"/>
            <w:vAlign w:val="center"/>
          </w:tcPr>
          <w:p w14:paraId="26F85C13"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7" w:type="dxa"/>
            <w:vAlign w:val="center"/>
          </w:tcPr>
          <w:p w14:paraId="20F0FA2E"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566" w:type="dxa"/>
            <w:vAlign w:val="center"/>
          </w:tcPr>
          <w:p w14:paraId="57BA6FCE"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r>
      <w:tr w:rsidR="000854E4" w:rsidRPr="004B7B66" w14:paraId="7BAA18D3" w14:textId="77777777" w:rsidTr="007C6DEB">
        <w:tc>
          <w:tcPr>
            <w:tcW w:w="3021" w:type="dxa"/>
            <w:vAlign w:val="center"/>
          </w:tcPr>
          <w:p w14:paraId="5008625C"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F-statistic: 6.4786</w:t>
            </w:r>
          </w:p>
          <w:p w14:paraId="6CB24DBE"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K: 4</w:t>
            </w:r>
          </w:p>
        </w:tc>
        <w:tc>
          <w:tcPr>
            <w:tcW w:w="796" w:type="dxa"/>
            <w:vAlign w:val="center"/>
          </w:tcPr>
          <w:p w14:paraId="0F5D6890"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1.9</w:t>
            </w:r>
          </w:p>
        </w:tc>
        <w:tc>
          <w:tcPr>
            <w:tcW w:w="795" w:type="dxa"/>
            <w:vAlign w:val="center"/>
          </w:tcPr>
          <w:p w14:paraId="0D811D94"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3.01</w:t>
            </w:r>
          </w:p>
        </w:tc>
        <w:tc>
          <w:tcPr>
            <w:tcW w:w="795" w:type="dxa"/>
            <w:vAlign w:val="center"/>
          </w:tcPr>
          <w:p w14:paraId="2D587243"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2.26</w:t>
            </w:r>
          </w:p>
        </w:tc>
        <w:tc>
          <w:tcPr>
            <w:tcW w:w="797" w:type="dxa"/>
            <w:vAlign w:val="center"/>
          </w:tcPr>
          <w:p w14:paraId="3524305C"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3.48</w:t>
            </w:r>
          </w:p>
        </w:tc>
        <w:tc>
          <w:tcPr>
            <w:tcW w:w="797" w:type="dxa"/>
            <w:vAlign w:val="center"/>
          </w:tcPr>
          <w:p w14:paraId="485FFFDB"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2.62</w:t>
            </w:r>
          </w:p>
        </w:tc>
        <w:tc>
          <w:tcPr>
            <w:tcW w:w="797" w:type="dxa"/>
            <w:vAlign w:val="center"/>
          </w:tcPr>
          <w:p w14:paraId="25E74482"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3.9</w:t>
            </w:r>
          </w:p>
        </w:tc>
        <w:tc>
          <w:tcPr>
            <w:tcW w:w="797" w:type="dxa"/>
            <w:vAlign w:val="center"/>
          </w:tcPr>
          <w:p w14:paraId="343C01CC"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3.07</w:t>
            </w:r>
          </w:p>
        </w:tc>
        <w:tc>
          <w:tcPr>
            <w:tcW w:w="566" w:type="dxa"/>
            <w:vAlign w:val="center"/>
          </w:tcPr>
          <w:p w14:paraId="7D1DCF64"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4.44</w:t>
            </w:r>
          </w:p>
        </w:tc>
      </w:tr>
      <w:tr w:rsidR="000854E4" w:rsidRPr="004B7B66" w14:paraId="7D84F575" w14:textId="77777777" w:rsidTr="007C6DEB">
        <w:tc>
          <w:tcPr>
            <w:tcW w:w="9161" w:type="dxa"/>
            <w:gridSpan w:val="9"/>
            <w:vAlign w:val="center"/>
          </w:tcPr>
          <w:p w14:paraId="5B6A5BB0"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Model 5. Dependent Variable IDR-EURO Volatility</w:t>
            </w:r>
          </w:p>
          <w:p w14:paraId="1A4C55D1"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Null Hypothesis: No level relationship</w:t>
            </w:r>
          </w:p>
        </w:tc>
      </w:tr>
      <w:tr w:rsidR="000854E4" w:rsidRPr="004B7B66" w14:paraId="5FE42617" w14:textId="77777777" w:rsidTr="007C6DEB">
        <w:tc>
          <w:tcPr>
            <w:tcW w:w="3021" w:type="dxa"/>
            <w:vMerge w:val="restart"/>
            <w:vAlign w:val="center"/>
          </w:tcPr>
          <w:p w14:paraId="70C99518" w14:textId="77777777" w:rsidR="000854E4" w:rsidRPr="00776F87" w:rsidRDefault="000854E4" w:rsidP="00776F87">
            <w:pPr>
              <w:pStyle w:val="ListParagraph"/>
              <w:tabs>
                <w:tab w:val="left" w:pos="426"/>
              </w:tabs>
              <w:kinsoku w:val="0"/>
              <w:overflowPunct w:val="0"/>
              <w:autoSpaceDE w:val="0"/>
              <w:autoSpaceDN w:val="0"/>
              <w:spacing w:after="0" w:line="240" w:lineRule="auto"/>
              <w:ind w:left="0"/>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ARDL Bound Testing Cointegration</w:t>
            </w:r>
          </w:p>
        </w:tc>
        <w:tc>
          <w:tcPr>
            <w:tcW w:w="1591" w:type="dxa"/>
            <w:gridSpan w:val="2"/>
            <w:vAlign w:val="center"/>
          </w:tcPr>
          <w:p w14:paraId="0069A2D9"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10%</w:t>
            </w:r>
          </w:p>
        </w:tc>
        <w:tc>
          <w:tcPr>
            <w:tcW w:w="1592" w:type="dxa"/>
            <w:gridSpan w:val="2"/>
            <w:vAlign w:val="center"/>
          </w:tcPr>
          <w:p w14:paraId="6F990C50"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5%</w:t>
            </w:r>
          </w:p>
        </w:tc>
        <w:tc>
          <w:tcPr>
            <w:tcW w:w="1594" w:type="dxa"/>
            <w:gridSpan w:val="2"/>
            <w:vAlign w:val="center"/>
          </w:tcPr>
          <w:p w14:paraId="5D7A3CB8"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2.5%</w:t>
            </w:r>
          </w:p>
        </w:tc>
        <w:tc>
          <w:tcPr>
            <w:tcW w:w="1363" w:type="dxa"/>
            <w:gridSpan w:val="2"/>
            <w:vAlign w:val="center"/>
          </w:tcPr>
          <w:p w14:paraId="35783709"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1%</w:t>
            </w:r>
          </w:p>
        </w:tc>
      </w:tr>
      <w:tr w:rsidR="000854E4" w:rsidRPr="004B7B66" w14:paraId="463D54D1" w14:textId="77777777" w:rsidTr="007C6DEB">
        <w:tc>
          <w:tcPr>
            <w:tcW w:w="3021" w:type="dxa"/>
            <w:vMerge/>
            <w:vAlign w:val="center"/>
          </w:tcPr>
          <w:p w14:paraId="4E9627AE"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p>
        </w:tc>
        <w:tc>
          <w:tcPr>
            <w:tcW w:w="796" w:type="dxa"/>
            <w:vAlign w:val="center"/>
          </w:tcPr>
          <w:p w14:paraId="717D2A8E"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5" w:type="dxa"/>
            <w:vAlign w:val="center"/>
          </w:tcPr>
          <w:p w14:paraId="69D67C73"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5" w:type="dxa"/>
            <w:vAlign w:val="center"/>
          </w:tcPr>
          <w:p w14:paraId="64713326"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7" w:type="dxa"/>
            <w:vAlign w:val="center"/>
          </w:tcPr>
          <w:p w14:paraId="65C41DCE"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7" w:type="dxa"/>
            <w:vAlign w:val="center"/>
          </w:tcPr>
          <w:p w14:paraId="2FB86258"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797" w:type="dxa"/>
            <w:vAlign w:val="center"/>
          </w:tcPr>
          <w:p w14:paraId="4FA1A322"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c>
          <w:tcPr>
            <w:tcW w:w="797" w:type="dxa"/>
            <w:vAlign w:val="center"/>
          </w:tcPr>
          <w:p w14:paraId="06FC2F0A"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I(0)</w:t>
            </w:r>
          </w:p>
        </w:tc>
        <w:tc>
          <w:tcPr>
            <w:tcW w:w="566" w:type="dxa"/>
            <w:vAlign w:val="center"/>
          </w:tcPr>
          <w:p w14:paraId="13A54463"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I(1)</w:t>
            </w:r>
          </w:p>
        </w:tc>
      </w:tr>
      <w:tr w:rsidR="000854E4" w:rsidRPr="004B7B66" w14:paraId="1D4A5EF3" w14:textId="77777777" w:rsidTr="007C6DEB">
        <w:tc>
          <w:tcPr>
            <w:tcW w:w="3021" w:type="dxa"/>
            <w:vAlign w:val="center"/>
          </w:tcPr>
          <w:p w14:paraId="39EBC160"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F-statistic: 6.4641</w:t>
            </w:r>
          </w:p>
          <w:p w14:paraId="2466457C" w14:textId="77777777" w:rsidR="000854E4" w:rsidRPr="00776F87" w:rsidRDefault="000854E4" w:rsidP="004B7B66">
            <w:pPr>
              <w:pStyle w:val="ListParagraph"/>
              <w:tabs>
                <w:tab w:val="left" w:pos="426"/>
              </w:tabs>
              <w:kinsoku w:val="0"/>
              <w:overflowPunct w:val="0"/>
              <w:autoSpaceDE w:val="0"/>
              <w:autoSpaceDN w:val="0"/>
              <w:spacing w:after="0" w:line="240" w:lineRule="auto"/>
              <w:ind w:left="0"/>
              <w:jc w:val="both"/>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K: 4</w:t>
            </w:r>
          </w:p>
        </w:tc>
        <w:tc>
          <w:tcPr>
            <w:tcW w:w="796" w:type="dxa"/>
            <w:vAlign w:val="center"/>
          </w:tcPr>
          <w:p w14:paraId="02847613"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1.9</w:t>
            </w:r>
          </w:p>
        </w:tc>
        <w:tc>
          <w:tcPr>
            <w:tcW w:w="795" w:type="dxa"/>
            <w:vAlign w:val="center"/>
          </w:tcPr>
          <w:p w14:paraId="2EB26A14"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3.01</w:t>
            </w:r>
          </w:p>
        </w:tc>
        <w:tc>
          <w:tcPr>
            <w:tcW w:w="795" w:type="dxa"/>
            <w:vAlign w:val="center"/>
          </w:tcPr>
          <w:p w14:paraId="0D9C5D6F"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2.26</w:t>
            </w:r>
          </w:p>
        </w:tc>
        <w:tc>
          <w:tcPr>
            <w:tcW w:w="797" w:type="dxa"/>
            <w:vAlign w:val="center"/>
          </w:tcPr>
          <w:p w14:paraId="42B91F79"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3.48</w:t>
            </w:r>
          </w:p>
        </w:tc>
        <w:tc>
          <w:tcPr>
            <w:tcW w:w="797" w:type="dxa"/>
            <w:vAlign w:val="center"/>
          </w:tcPr>
          <w:p w14:paraId="52F94EFB" w14:textId="66B09C89" w:rsidR="000854E4" w:rsidRPr="00776F87" w:rsidRDefault="00C5005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2.62</w:t>
            </w:r>
          </w:p>
        </w:tc>
        <w:tc>
          <w:tcPr>
            <w:tcW w:w="797" w:type="dxa"/>
            <w:vAlign w:val="center"/>
          </w:tcPr>
          <w:p w14:paraId="4157CDD9"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3.9</w:t>
            </w:r>
          </w:p>
        </w:tc>
        <w:tc>
          <w:tcPr>
            <w:tcW w:w="797" w:type="dxa"/>
            <w:vAlign w:val="center"/>
          </w:tcPr>
          <w:p w14:paraId="6080CF6D"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3.07</w:t>
            </w:r>
          </w:p>
        </w:tc>
        <w:tc>
          <w:tcPr>
            <w:tcW w:w="566" w:type="dxa"/>
            <w:vAlign w:val="center"/>
          </w:tcPr>
          <w:p w14:paraId="48A28162" w14:textId="77777777" w:rsidR="000854E4" w:rsidRPr="00776F87" w:rsidRDefault="000854E4" w:rsidP="00FC4A9A">
            <w:pPr>
              <w:pStyle w:val="ListParagraph"/>
              <w:tabs>
                <w:tab w:val="left" w:pos="426"/>
              </w:tabs>
              <w:kinsoku w:val="0"/>
              <w:overflowPunct w:val="0"/>
              <w:autoSpaceDE w:val="0"/>
              <w:autoSpaceDN w:val="0"/>
              <w:spacing w:after="0" w:line="240" w:lineRule="auto"/>
              <w:ind w:left="0"/>
              <w:jc w:val="center"/>
              <w:rPr>
                <w:rFonts w:ascii="Times New Roman" w:eastAsia="Palatino Linotype" w:hAnsi="Times New Roman" w:cs="Times New Roman"/>
                <w:sz w:val="20"/>
                <w:szCs w:val="20"/>
              </w:rPr>
            </w:pPr>
            <w:r w:rsidRPr="00776F87">
              <w:rPr>
                <w:rFonts w:ascii="Times New Roman" w:eastAsia="Palatino Linotype" w:hAnsi="Times New Roman" w:cs="Times New Roman"/>
                <w:sz w:val="20"/>
                <w:szCs w:val="20"/>
              </w:rPr>
              <w:t>4.44</w:t>
            </w:r>
          </w:p>
        </w:tc>
      </w:tr>
    </w:tbl>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571"/>
      </w:tblGrid>
      <w:tr w:rsidR="00FD70F3" w14:paraId="4655A5B3" w14:textId="77777777" w:rsidTr="00FD70F3">
        <w:tc>
          <w:tcPr>
            <w:tcW w:w="543" w:type="dxa"/>
          </w:tcPr>
          <w:p w14:paraId="551AF95B" w14:textId="77777777" w:rsidR="00FD70F3" w:rsidRDefault="00FD70F3" w:rsidP="00E555AF">
            <w:pPr>
              <w:pStyle w:val="BodyText2"/>
              <w:spacing w:after="0" w:line="240" w:lineRule="auto"/>
              <w:rPr>
                <w:sz w:val="20"/>
                <w:szCs w:val="20"/>
                <w:shd w:val="clear" w:color="auto" w:fill="FFFFFF"/>
              </w:rPr>
            </w:pPr>
            <w:r w:rsidRPr="00736B8D">
              <w:rPr>
                <w:rFonts w:eastAsia="Palatino Linotype"/>
                <w:b/>
                <w:bCs/>
                <w:sz w:val="14"/>
                <w:szCs w:val="18"/>
              </w:rPr>
              <w:t>Note</w:t>
            </w:r>
            <w:r>
              <w:rPr>
                <w:rFonts w:eastAsia="Palatino Linotype"/>
                <w:b/>
                <w:bCs/>
                <w:sz w:val="14"/>
                <w:szCs w:val="18"/>
              </w:rPr>
              <w:t>:</w:t>
            </w:r>
          </w:p>
        </w:tc>
        <w:tc>
          <w:tcPr>
            <w:tcW w:w="8571" w:type="dxa"/>
          </w:tcPr>
          <w:p w14:paraId="06DD0A54" w14:textId="77777777" w:rsidR="00FD70F3" w:rsidRPr="00E57B2D" w:rsidRDefault="00FD70F3" w:rsidP="00E555AF">
            <w:pPr>
              <w:pStyle w:val="ListParagraph"/>
              <w:numPr>
                <w:ilvl w:val="0"/>
                <w:numId w:val="10"/>
              </w:numPr>
              <w:tabs>
                <w:tab w:val="left" w:pos="57"/>
              </w:tabs>
              <w:kinsoku w:val="0"/>
              <w:overflowPunct w:val="0"/>
              <w:autoSpaceDE w:val="0"/>
              <w:autoSpaceDN w:val="0"/>
              <w:ind w:left="-84" w:firstLine="0"/>
              <w:jc w:val="both"/>
              <w:rPr>
                <w:rFonts w:ascii="Times New Roman" w:hAnsi="Times New Roman" w:cs="Times New Roman"/>
                <w:color w:val="000000"/>
                <w:sz w:val="14"/>
                <w:szCs w:val="18"/>
                <w:lang w:val="en-ID" w:eastAsia="en-ID"/>
              </w:rPr>
            </w:pPr>
            <w:r w:rsidRPr="00E57B2D">
              <w:rPr>
                <w:rFonts w:ascii="Times New Roman" w:hAnsi="Times New Roman" w:cs="Times New Roman"/>
                <w:sz w:val="14"/>
                <w:szCs w:val="18"/>
              </w:rPr>
              <w:t>IDR-USD Volatility is Indonesia Rupiah to US Dollar volatility.</w:t>
            </w:r>
          </w:p>
          <w:p w14:paraId="68E1F9ED" w14:textId="77777777" w:rsidR="00FD70F3" w:rsidRPr="00E57B2D" w:rsidRDefault="00FD70F3" w:rsidP="00E555AF">
            <w:pPr>
              <w:pStyle w:val="ListParagraph"/>
              <w:numPr>
                <w:ilvl w:val="0"/>
                <w:numId w:val="10"/>
              </w:numPr>
              <w:tabs>
                <w:tab w:val="left" w:pos="57"/>
              </w:tabs>
              <w:kinsoku w:val="0"/>
              <w:overflowPunct w:val="0"/>
              <w:autoSpaceDE w:val="0"/>
              <w:autoSpaceDN w:val="0"/>
              <w:ind w:left="-84" w:firstLine="0"/>
              <w:jc w:val="both"/>
              <w:rPr>
                <w:rFonts w:ascii="Times New Roman" w:hAnsi="Times New Roman" w:cs="Times New Roman"/>
                <w:color w:val="000000"/>
                <w:sz w:val="14"/>
                <w:szCs w:val="18"/>
                <w:lang w:val="en-ID" w:eastAsia="en-ID"/>
              </w:rPr>
            </w:pPr>
            <w:r w:rsidRPr="00E57B2D">
              <w:rPr>
                <w:rFonts w:ascii="Times New Roman" w:hAnsi="Times New Roman" w:cs="Times New Roman"/>
                <w:sz w:val="14"/>
                <w:szCs w:val="18"/>
              </w:rPr>
              <w:t>IDR-SGD Volatility is Indonesia Rupiah to Singapore Dollar volatility.</w:t>
            </w:r>
          </w:p>
          <w:p w14:paraId="403DE8E4" w14:textId="77777777" w:rsidR="00FD70F3" w:rsidRPr="00E57B2D" w:rsidRDefault="00FD70F3" w:rsidP="00E555AF">
            <w:pPr>
              <w:pStyle w:val="ListParagraph"/>
              <w:numPr>
                <w:ilvl w:val="0"/>
                <w:numId w:val="10"/>
              </w:numPr>
              <w:tabs>
                <w:tab w:val="left" w:pos="57"/>
              </w:tabs>
              <w:kinsoku w:val="0"/>
              <w:overflowPunct w:val="0"/>
              <w:autoSpaceDE w:val="0"/>
              <w:autoSpaceDN w:val="0"/>
              <w:ind w:left="-84" w:firstLine="0"/>
              <w:jc w:val="both"/>
              <w:rPr>
                <w:rFonts w:ascii="Times New Roman" w:hAnsi="Times New Roman" w:cs="Times New Roman"/>
                <w:color w:val="000000"/>
                <w:sz w:val="14"/>
                <w:szCs w:val="18"/>
                <w:lang w:val="en-ID" w:eastAsia="en-ID"/>
              </w:rPr>
            </w:pPr>
            <w:r w:rsidRPr="00E57B2D">
              <w:rPr>
                <w:rFonts w:ascii="Times New Roman" w:hAnsi="Times New Roman" w:cs="Times New Roman"/>
                <w:sz w:val="14"/>
                <w:szCs w:val="18"/>
              </w:rPr>
              <w:t>IDR-AUD Volatility is Indonesia Rupiah to Australia Dollar volatility.</w:t>
            </w:r>
          </w:p>
          <w:p w14:paraId="221C4CF8" w14:textId="77777777" w:rsidR="00FD70F3" w:rsidRPr="00E57B2D" w:rsidRDefault="00FD70F3" w:rsidP="00E555AF">
            <w:pPr>
              <w:pStyle w:val="ListParagraph"/>
              <w:numPr>
                <w:ilvl w:val="0"/>
                <w:numId w:val="10"/>
              </w:numPr>
              <w:tabs>
                <w:tab w:val="left" w:pos="57"/>
              </w:tabs>
              <w:kinsoku w:val="0"/>
              <w:overflowPunct w:val="0"/>
              <w:autoSpaceDE w:val="0"/>
              <w:autoSpaceDN w:val="0"/>
              <w:ind w:left="-84" w:firstLine="0"/>
              <w:jc w:val="both"/>
              <w:rPr>
                <w:rFonts w:ascii="Times New Roman" w:hAnsi="Times New Roman" w:cs="Times New Roman"/>
                <w:color w:val="000000"/>
                <w:sz w:val="14"/>
                <w:szCs w:val="18"/>
                <w:lang w:val="en-ID" w:eastAsia="en-ID"/>
              </w:rPr>
            </w:pPr>
            <w:r w:rsidRPr="00E57B2D">
              <w:rPr>
                <w:rFonts w:ascii="Times New Roman" w:hAnsi="Times New Roman" w:cs="Times New Roman"/>
                <w:sz w:val="14"/>
                <w:szCs w:val="18"/>
              </w:rPr>
              <w:t>IDR-GBP Volatility is Indonesia Rupiah to US British Pound Sterling volatility.</w:t>
            </w:r>
          </w:p>
          <w:p w14:paraId="32C18D47" w14:textId="77777777" w:rsidR="00FD70F3" w:rsidRPr="00E57B2D" w:rsidRDefault="00FD70F3" w:rsidP="00E555AF">
            <w:pPr>
              <w:pStyle w:val="ListParagraph"/>
              <w:numPr>
                <w:ilvl w:val="0"/>
                <w:numId w:val="10"/>
              </w:numPr>
              <w:tabs>
                <w:tab w:val="left" w:pos="57"/>
              </w:tabs>
              <w:kinsoku w:val="0"/>
              <w:overflowPunct w:val="0"/>
              <w:autoSpaceDE w:val="0"/>
              <w:autoSpaceDN w:val="0"/>
              <w:ind w:left="-84" w:firstLine="0"/>
              <w:jc w:val="both"/>
              <w:rPr>
                <w:rFonts w:ascii="Times New Roman" w:hAnsi="Times New Roman" w:cs="Times New Roman"/>
                <w:color w:val="000000"/>
                <w:sz w:val="14"/>
                <w:szCs w:val="18"/>
                <w:lang w:val="en-ID" w:eastAsia="en-ID"/>
              </w:rPr>
            </w:pPr>
            <w:r w:rsidRPr="00E57B2D">
              <w:rPr>
                <w:rFonts w:ascii="Times New Roman" w:hAnsi="Times New Roman" w:cs="Times New Roman"/>
                <w:sz w:val="14"/>
                <w:szCs w:val="18"/>
              </w:rPr>
              <w:t>IDR-EURO Volatility is Indonesia Rupiah to EURO volatility.</w:t>
            </w:r>
          </w:p>
        </w:tc>
      </w:tr>
    </w:tbl>
    <w:p w14:paraId="4BDF0E9B" w14:textId="77777777" w:rsidR="00FD70F3" w:rsidRPr="004B7B66" w:rsidRDefault="00FD70F3" w:rsidP="004B7B66">
      <w:pPr>
        <w:pStyle w:val="ListParagraph"/>
        <w:tabs>
          <w:tab w:val="left" w:pos="426"/>
        </w:tabs>
        <w:kinsoku w:val="0"/>
        <w:overflowPunct w:val="0"/>
        <w:autoSpaceDE w:val="0"/>
        <w:autoSpaceDN w:val="0"/>
        <w:spacing w:after="0" w:line="240" w:lineRule="auto"/>
        <w:ind w:left="284"/>
        <w:jc w:val="both"/>
        <w:rPr>
          <w:rFonts w:ascii="Times New Roman" w:hAnsi="Times New Roman" w:cs="Times New Roman"/>
          <w:sz w:val="20"/>
          <w:szCs w:val="20"/>
        </w:rPr>
      </w:pPr>
    </w:p>
    <w:p w14:paraId="2BEFA9B5" w14:textId="7FD9DC6C" w:rsidR="000854E4" w:rsidRPr="007C6DEB" w:rsidRDefault="007C6DEB" w:rsidP="007C6DEB">
      <w:pPr>
        <w:tabs>
          <w:tab w:val="left" w:pos="426"/>
        </w:tabs>
        <w:kinsoku w:val="0"/>
        <w:overflowPunct w:val="0"/>
        <w:autoSpaceDE w:val="0"/>
        <w:autoSpaceDN w:val="0"/>
        <w:spacing w:after="0" w:line="240" w:lineRule="auto"/>
        <w:jc w:val="both"/>
        <w:rPr>
          <w:rFonts w:ascii="Times New Roman" w:eastAsia="Palatino Linotype" w:hAnsi="Times New Roman" w:cs="Times New Roman"/>
          <w:i/>
          <w:iCs/>
          <w:sz w:val="20"/>
          <w:szCs w:val="20"/>
        </w:rPr>
      </w:pPr>
      <w:r w:rsidRPr="007C6DEB">
        <w:rPr>
          <w:rFonts w:ascii="Times New Roman" w:eastAsia="Palatino Linotype" w:hAnsi="Times New Roman" w:cs="Times New Roman"/>
          <w:i/>
          <w:iCs/>
          <w:sz w:val="20"/>
          <w:szCs w:val="20"/>
        </w:rPr>
        <w:t xml:space="preserve">4.3. </w:t>
      </w:r>
      <w:r w:rsidR="000854E4" w:rsidRPr="007C6DEB">
        <w:rPr>
          <w:rFonts w:ascii="Times New Roman" w:eastAsia="Palatino Linotype" w:hAnsi="Times New Roman" w:cs="Times New Roman"/>
          <w:i/>
          <w:iCs/>
          <w:sz w:val="20"/>
          <w:szCs w:val="20"/>
        </w:rPr>
        <w:t>Autoregression Distribution Lag Estimation Result</w:t>
      </w:r>
    </w:p>
    <w:p w14:paraId="244E5CC2" w14:textId="2583FBCB" w:rsidR="000854E4" w:rsidRPr="004B7B66" w:rsidRDefault="001E7704" w:rsidP="007C6DEB">
      <w:pPr>
        <w:spacing w:after="0" w:line="240" w:lineRule="auto"/>
        <w:ind w:firstLine="360"/>
        <w:jc w:val="both"/>
        <w:rPr>
          <w:rFonts w:ascii="Times New Roman" w:hAnsi="Times New Roman" w:cs="Times New Roman"/>
          <w:sz w:val="20"/>
          <w:szCs w:val="20"/>
          <w:shd w:val="clear" w:color="auto" w:fill="FFFFFF"/>
        </w:rPr>
      </w:pPr>
      <w:hyperlink w:anchor="Table3" w:history="1">
        <w:r w:rsidR="000854E4" w:rsidRPr="002077CA">
          <w:rPr>
            <w:rStyle w:val="Hyperlink"/>
            <w:rFonts w:ascii="Times New Roman" w:hAnsi="Times New Roman" w:cs="Times New Roman"/>
            <w:sz w:val="20"/>
            <w:szCs w:val="20"/>
            <w:u w:val="none"/>
            <w:shd w:val="clear" w:color="auto" w:fill="FFFFFF"/>
          </w:rPr>
          <w:t xml:space="preserve">Table </w:t>
        </w:r>
        <w:r w:rsidR="001D4F79" w:rsidRPr="002077CA">
          <w:rPr>
            <w:rStyle w:val="Hyperlink"/>
            <w:rFonts w:ascii="Times New Roman" w:hAnsi="Times New Roman" w:cs="Times New Roman"/>
            <w:sz w:val="20"/>
            <w:szCs w:val="20"/>
            <w:u w:val="none"/>
            <w:shd w:val="clear" w:color="auto" w:fill="FFFFFF"/>
          </w:rPr>
          <w:t>3</w:t>
        </w:r>
      </w:hyperlink>
      <w:r w:rsidR="000854E4" w:rsidRPr="004B7B66">
        <w:rPr>
          <w:rFonts w:ascii="Times New Roman" w:hAnsi="Times New Roman" w:cs="Times New Roman"/>
          <w:sz w:val="20"/>
          <w:szCs w:val="20"/>
          <w:shd w:val="clear" w:color="auto" w:fill="FFFFFF"/>
        </w:rPr>
        <w:t xml:space="preserve"> shows the results of the regression analysis conducted for the independent variables in the exchange rate volatility using an autoregression distribution lag estimation and </w:t>
      </w:r>
      <w:bookmarkStart w:id="11" w:name="_Hlk58929601"/>
      <w:r w:rsidR="000854E4" w:rsidRPr="004B7B66">
        <w:rPr>
          <w:rFonts w:ascii="Times New Roman" w:hAnsi="Times New Roman" w:cs="Times New Roman"/>
          <w:sz w:val="20"/>
          <w:szCs w:val="20"/>
          <w:shd w:val="clear" w:color="auto" w:fill="FFFFFF"/>
        </w:rPr>
        <w:t xml:space="preserve">central bank policy rate, output gap, money per GDP, and credit gap </w:t>
      </w:r>
      <w:bookmarkEnd w:id="11"/>
      <w:r w:rsidR="000854E4" w:rsidRPr="004B7B66">
        <w:rPr>
          <w:rFonts w:ascii="Times New Roman" w:hAnsi="Times New Roman" w:cs="Times New Roman"/>
          <w:sz w:val="20"/>
          <w:szCs w:val="20"/>
          <w:shd w:val="clear" w:color="auto" w:fill="FFFFFF"/>
        </w:rPr>
        <w:t xml:space="preserve">were discovered to have a significant effect. For the long-run estimation, </w:t>
      </w:r>
      <w:r w:rsidR="00100FD0">
        <w:rPr>
          <w:rFonts w:ascii="Times New Roman" w:hAnsi="Times New Roman" w:cs="Times New Roman"/>
          <w:sz w:val="20"/>
          <w:szCs w:val="20"/>
          <w:shd w:val="clear" w:color="auto" w:fill="FFFFFF"/>
        </w:rPr>
        <w:t xml:space="preserve">the </w:t>
      </w:r>
      <w:r w:rsidR="000854E4" w:rsidRPr="004B7B66">
        <w:rPr>
          <w:rFonts w:ascii="Times New Roman" w:hAnsi="Times New Roman" w:cs="Times New Roman"/>
          <w:sz w:val="20"/>
          <w:szCs w:val="20"/>
          <w:shd w:val="clear" w:color="auto" w:fill="FFFFFF"/>
        </w:rPr>
        <w:t xml:space="preserve">central bank policy rate was found to have a positive and significant influence on the volatility of the exchange rate in all five models. The output gap has a negative and significant influence on exchange rate volatility in all models, while the money per GDP has a positive effect at </w:t>
      </w:r>
      <w:r w:rsidR="00100FD0">
        <w:rPr>
          <w:rFonts w:ascii="Times New Roman" w:hAnsi="Times New Roman" w:cs="Times New Roman"/>
          <w:sz w:val="20"/>
          <w:szCs w:val="20"/>
          <w:shd w:val="clear" w:color="auto" w:fill="FFFFFF"/>
        </w:rPr>
        <w:t xml:space="preserve">a </w:t>
      </w:r>
      <w:r w:rsidR="000854E4" w:rsidRPr="004B7B66">
        <w:rPr>
          <w:rFonts w:ascii="Times New Roman" w:hAnsi="Times New Roman" w:cs="Times New Roman"/>
          <w:sz w:val="20"/>
          <w:szCs w:val="20"/>
          <w:shd w:val="clear" w:color="auto" w:fill="FFFFFF"/>
        </w:rPr>
        <w:t>5% significant level in models 1 and 2.</w:t>
      </w:r>
      <w:r w:rsidR="00DC6251">
        <w:rPr>
          <w:rFonts w:ascii="Times New Roman" w:hAnsi="Times New Roman" w:cs="Times New Roman"/>
          <w:sz w:val="20"/>
          <w:szCs w:val="20"/>
          <w:shd w:val="clear" w:color="auto" w:fill="FFFFFF"/>
        </w:rPr>
        <w:t xml:space="preserve"> </w:t>
      </w:r>
      <w:r w:rsidR="000854E4" w:rsidRPr="004B7B66">
        <w:rPr>
          <w:rFonts w:ascii="Times New Roman" w:hAnsi="Times New Roman" w:cs="Times New Roman"/>
          <w:sz w:val="20"/>
          <w:szCs w:val="20"/>
          <w:shd w:val="clear" w:color="auto" w:fill="FFFFFF"/>
        </w:rPr>
        <w:t xml:space="preserve">Also, the money per GDP has a negative influence on domestic currency volatility but the effect is insignificant in </w:t>
      </w:r>
      <w:r w:rsidR="00100FD0">
        <w:rPr>
          <w:rFonts w:ascii="Times New Roman" w:hAnsi="Times New Roman" w:cs="Times New Roman"/>
          <w:sz w:val="20"/>
          <w:szCs w:val="20"/>
          <w:shd w:val="clear" w:color="auto" w:fill="FFFFFF"/>
        </w:rPr>
        <w:t xml:space="preserve">the </w:t>
      </w:r>
      <w:r w:rsidR="000854E4" w:rsidRPr="004B7B66">
        <w:rPr>
          <w:rFonts w:ascii="Times New Roman" w:hAnsi="Times New Roman" w:cs="Times New Roman"/>
          <w:sz w:val="20"/>
          <w:szCs w:val="20"/>
          <w:shd w:val="clear" w:color="auto" w:fill="FFFFFF"/>
        </w:rPr>
        <w:t xml:space="preserve">model for IDR-SGD volatility. The credit gap was found to have a positive effect on domestic currency volatility at </w:t>
      </w:r>
      <w:r w:rsidR="00100FD0">
        <w:rPr>
          <w:rFonts w:ascii="Times New Roman" w:hAnsi="Times New Roman" w:cs="Times New Roman"/>
          <w:sz w:val="20"/>
          <w:szCs w:val="20"/>
          <w:shd w:val="clear" w:color="auto" w:fill="FFFFFF"/>
        </w:rPr>
        <w:t xml:space="preserve">a </w:t>
      </w:r>
      <w:r w:rsidR="000854E4" w:rsidRPr="004B7B66">
        <w:rPr>
          <w:rFonts w:ascii="Times New Roman" w:hAnsi="Times New Roman" w:cs="Times New Roman"/>
          <w:sz w:val="20"/>
          <w:szCs w:val="20"/>
          <w:shd w:val="clear" w:color="auto" w:fill="FFFFFF"/>
        </w:rPr>
        <w:t xml:space="preserve">1% significant level for IDR-USD, </w:t>
      </w:r>
      <w:r w:rsidR="000854E4" w:rsidRPr="004B7B66">
        <w:rPr>
          <w:rFonts w:ascii="Times New Roman" w:hAnsi="Times New Roman" w:cs="Times New Roman"/>
          <w:sz w:val="20"/>
          <w:szCs w:val="20"/>
        </w:rPr>
        <w:t>IDR-GBP, and IDR-EURO</w:t>
      </w:r>
      <w:r w:rsidR="000854E4" w:rsidRPr="004B7B66">
        <w:rPr>
          <w:rFonts w:ascii="Times New Roman" w:hAnsi="Times New Roman" w:cs="Times New Roman"/>
          <w:sz w:val="20"/>
          <w:szCs w:val="20"/>
          <w:shd w:val="clear" w:color="auto" w:fill="FFFFFF"/>
        </w:rPr>
        <w:t xml:space="preserve"> volatilities but has a negative insignificant for models </w:t>
      </w:r>
      <w:r w:rsidR="000854E4" w:rsidRPr="004B7B66">
        <w:rPr>
          <w:rFonts w:ascii="Times New Roman" w:hAnsi="Times New Roman" w:cs="Times New Roman"/>
          <w:sz w:val="20"/>
          <w:szCs w:val="20"/>
        </w:rPr>
        <w:t xml:space="preserve">IDR-SGD and IDR-AUD </w:t>
      </w:r>
      <w:r w:rsidR="000854E4" w:rsidRPr="004B7B66">
        <w:rPr>
          <w:rFonts w:ascii="Times New Roman" w:hAnsi="Times New Roman" w:cs="Times New Roman"/>
          <w:sz w:val="20"/>
          <w:szCs w:val="20"/>
          <w:shd w:val="clear" w:color="auto" w:fill="FFFFFF"/>
        </w:rPr>
        <w:t>volatilities.</w:t>
      </w:r>
    </w:p>
    <w:p w14:paraId="124346A3" w14:textId="2793C7C8" w:rsidR="00293371" w:rsidRPr="004B7B66" w:rsidRDefault="00293371" w:rsidP="00293371">
      <w:pPr>
        <w:tabs>
          <w:tab w:val="left" w:pos="1843"/>
        </w:tabs>
        <w:kinsoku w:val="0"/>
        <w:overflowPunct w:val="0"/>
        <w:autoSpaceDE w:val="0"/>
        <w:autoSpaceDN w:val="0"/>
        <w:spacing w:after="0" w:line="240" w:lineRule="auto"/>
        <w:ind w:firstLine="360"/>
        <w:jc w:val="both"/>
        <w:rPr>
          <w:rFonts w:ascii="Times New Roman" w:hAnsi="Times New Roman" w:cs="Times New Roman"/>
          <w:sz w:val="20"/>
          <w:szCs w:val="20"/>
        </w:rPr>
      </w:pPr>
      <w:r w:rsidRPr="004B7B66">
        <w:rPr>
          <w:rFonts w:ascii="Times New Roman" w:hAnsi="Times New Roman" w:cs="Times New Roman"/>
          <w:sz w:val="20"/>
          <w:szCs w:val="20"/>
          <w:shd w:val="clear" w:color="auto" w:fill="FFFFFF"/>
        </w:rPr>
        <w:t xml:space="preserve">On the other hand, the short-run estimation showed </w:t>
      </w:r>
      <w:r w:rsidR="00394565">
        <w:rPr>
          <w:rFonts w:ascii="Times New Roman" w:hAnsi="Times New Roman" w:cs="Times New Roman"/>
          <w:sz w:val="20"/>
          <w:szCs w:val="20"/>
          <w:shd w:val="clear" w:color="auto" w:fill="FFFFFF"/>
        </w:rPr>
        <w:t xml:space="preserve">the </w:t>
      </w:r>
      <w:r w:rsidRPr="004B7B66">
        <w:rPr>
          <w:rFonts w:ascii="Times New Roman" w:hAnsi="Times New Roman" w:cs="Times New Roman"/>
          <w:sz w:val="20"/>
          <w:szCs w:val="20"/>
          <w:shd w:val="clear" w:color="auto" w:fill="FFFFFF"/>
        </w:rPr>
        <w:t>central bank policy rate has a positive and significant influence on the volatility of the domestic currency in all models. Meanwhile, the output gap has a negative but insignificant influence on the exchange rate volatility in all models. The effects of money per GDP on the exchange rate volatility were found to be positive in all</w:t>
      </w:r>
      <w:r w:rsidR="00100FD0">
        <w:rPr>
          <w:rFonts w:ascii="Times New Roman" w:hAnsi="Times New Roman" w:cs="Times New Roman"/>
          <w:sz w:val="20"/>
          <w:szCs w:val="20"/>
          <w:shd w:val="clear" w:color="auto" w:fill="FFFFFF"/>
        </w:rPr>
        <w:t xml:space="preserve"> </w:t>
      </w:r>
      <w:r w:rsidRPr="004B7B66">
        <w:rPr>
          <w:rFonts w:ascii="Times New Roman" w:hAnsi="Times New Roman" w:cs="Times New Roman"/>
          <w:sz w:val="20"/>
          <w:szCs w:val="20"/>
          <w:shd w:val="clear" w:color="auto" w:fill="FFFFFF"/>
        </w:rPr>
        <w:t>except for model 2. In addition, credit gap has a positive and significant effect on models 1,3 and 5.</w:t>
      </w:r>
    </w:p>
    <w:p w14:paraId="39F996EF" w14:textId="6B641181" w:rsidR="00293371" w:rsidRPr="004B7B66" w:rsidRDefault="00293371" w:rsidP="00293371">
      <w:pPr>
        <w:pStyle w:val="BodyText2"/>
        <w:spacing w:after="0" w:line="240" w:lineRule="auto"/>
        <w:ind w:firstLine="360"/>
        <w:jc w:val="both"/>
        <w:rPr>
          <w:sz w:val="20"/>
          <w:szCs w:val="20"/>
          <w:shd w:val="clear" w:color="auto" w:fill="FFFFFF"/>
        </w:rPr>
      </w:pPr>
      <w:r w:rsidRPr="004B7B66">
        <w:rPr>
          <w:sz w:val="20"/>
          <w:szCs w:val="20"/>
          <w:shd w:val="clear" w:color="auto" w:fill="FFFFFF"/>
        </w:rPr>
        <w:t>The adjustment coefficients of ARDL estimation for models 1 to 5 were found to be negative and significant at 1% with the speeds recorded to be</w:t>
      </w:r>
      <w:r w:rsidR="00100FD0">
        <w:rPr>
          <w:sz w:val="20"/>
          <w:szCs w:val="20"/>
          <w:shd w:val="clear" w:color="auto" w:fill="FFFFFF"/>
        </w:rPr>
        <w:t xml:space="preserve"> </w:t>
      </w:r>
      <w:r w:rsidRPr="004B7B66">
        <w:rPr>
          <w:sz w:val="20"/>
          <w:szCs w:val="20"/>
          <w:shd w:val="clear" w:color="auto" w:fill="FFFFFF"/>
        </w:rPr>
        <w:t xml:space="preserve">between -0.4424 and -0.5501 for five models. The relevance of </w:t>
      </w:r>
      <w:r w:rsidRPr="00DA1407">
        <w:rPr>
          <w:sz w:val="20"/>
          <w:szCs w:val="20"/>
          <w:shd w:val="clear" w:color="auto" w:fill="FFFFFF"/>
        </w:rPr>
        <w:t xml:space="preserve">the lagged ECT implies </w:t>
      </w:r>
      <w:r w:rsidRPr="004B7B66">
        <w:rPr>
          <w:sz w:val="20"/>
          <w:szCs w:val="20"/>
          <w:shd w:val="clear" w:color="auto" w:fill="FFFFFF"/>
        </w:rPr>
        <w:t>that the model in this study for exchange rate volatility is properly described. These coefficients show approximately 44% to 56% of the disequilibrium observed in the short-run is corrected in the long</w:t>
      </w:r>
      <w:r w:rsidR="0016675A">
        <w:rPr>
          <w:sz w:val="20"/>
          <w:szCs w:val="20"/>
          <w:shd w:val="clear" w:color="auto" w:fill="FFFFFF"/>
        </w:rPr>
        <w:t xml:space="preserve"> </w:t>
      </w:r>
      <w:r w:rsidRPr="004B7B66">
        <w:rPr>
          <w:sz w:val="20"/>
          <w:szCs w:val="20"/>
          <w:shd w:val="clear" w:color="auto" w:fill="FFFFFF"/>
        </w:rPr>
        <w:t>run, with the adjustment time for exchange rate volatility to achieve long-run equilibrium estimated from 1.77 to 2.1 quarters When the integrated variables diverge from their long-</w:t>
      </w:r>
      <w:r w:rsidRPr="004B7B66">
        <w:rPr>
          <w:sz w:val="20"/>
          <w:szCs w:val="20"/>
          <w:shd w:val="clear" w:color="auto" w:fill="FFFFFF"/>
          <w:lang w:val="en-US"/>
        </w:rPr>
        <w:t>term</w:t>
      </w:r>
      <w:r w:rsidRPr="004B7B66">
        <w:rPr>
          <w:sz w:val="20"/>
          <w:szCs w:val="20"/>
          <w:shd w:val="clear" w:color="auto" w:fill="FFFFFF"/>
        </w:rPr>
        <w:t xml:space="preserve"> relationship, the ECT </w:t>
      </w:r>
      <w:r w:rsidRPr="004B7B66">
        <w:rPr>
          <w:sz w:val="20"/>
          <w:szCs w:val="20"/>
          <w:shd w:val="clear" w:color="FFFFFF" w:fill="FFFFFF"/>
        </w:rPr>
        <w:t>serves as a force to bring</w:t>
      </w:r>
      <w:r w:rsidRPr="004B7B66">
        <w:rPr>
          <w:sz w:val="20"/>
          <w:szCs w:val="20"/>
          <w:shd w:val="clear" w:color="auto" w:fill="FFFFFF"/>
        </w:rPr>
        <w:t xml:space="preserve"> them back into alignment. In general, the model is suitable for forecasting and policy </w:t>
      </w:r>
      <w:proofErr w:type="spellStart"/>
      <w:r w:rsidRPr="004B7B66">
        <w:rPr>
          <w:sz w:val="20"/>
          <w:szCs w:val="20"/>
          <w:shd w:val="clear" w:color="auto" w:fill="FFFFFF"/>
        </w:rPr>
        <w:t>modeling</w:t>
      </w:r>
      <w:proofErr w:type="spellEnd"/>
      <w:r w:rsidRPr="004B7B66">
        <w:rPr>
          <w:sz w:val="20"/>
          <w:szCs w:val="20"/>
          <w:shd w:val="clear" w:color="auto" w:fill="FFFFFF"/>
        </w:rPr>
        <w:t>.</w:t>
      </w:r>
    </w:p>
    <w:p w14:paraId="30DDE7E6" w14:textId="37201FBF" w:rsidR="000854E4" w:rsidRDefault="000854E4" w:rsidP="007C6DEB">
      <w:pPr>
        <w:spacing w:after="0" w:line="240" w:lineRule="auto"/>
        <w:jc w:val="both"/>
        <w:rPr>
          <w:rFonts w:ascii="Times New Roman" w:hAnsi="Times New Roman" w:cs="Times New Roman"/>
          <w:sz w:val="20"/>
          <w:szCs w:val="20"/>
          <w:shd w:val="clear" w:color="auto" w:fill="FFFFFF"/>
        </w:rPr>
      </w:pPr>
    </w:p>
    <w:p w14:paraId="666EC2D1" w14:textId="4234C35D" w:rsidR="00293371" w:rsidRDefault="00293371" w:rsidP="007C6DEB">
      <w:pPr>
        <w:spacing w:after="0" w:line="240" w:lineRule="auto"/>
        <w:jc w:val="both"/>
        <w:rPr>
          <w:rFonts w:ascii="Times New Roman" w:hAnsi="Times New Roman" w:cs="Times New Roman"/>
          <w:sz w:val="20"/>
          <w:szCs w:val="20"/>
          <w:shd w:val="clear" w:color="auto" w:fill="FFFFFF"/>
        </w:rPr>
      </w:pPr>
    </w:p>
    <w:p w14:paraId="7D378ECA" w14:textId="16A91A3C" w:rsidR="00293371" w:rsidRDefault="00293371" w:rsidP="007C6DEB">
      <w:pPr>
        <w:spacing w:after="0" w:line="240" w:lineRule="auto"/>
        <w:jc w:val="both"/>
        <w:rPr>
          <w:rFonts w:ascii="Times New Roman" w:hAnsi="Times New Roman" w:cs="Times New Roman"/>
          <w:sz w:val="20"/>
          <w:szCs w:val="20"/>
          <w:shd w:val="clear" w:color="auto" w:fill="FFFFFF"/>
        </w:rPr>
      </w:pPr>
    </w:p>
    <w:p w14:paraId="70603601" w14:textId="77777777" w:rsidR="00D80887" w:rsidRDefault="00D80887" w:rsidP="007C6DEB">
      <w:pPr>
        <w:spacing w:after="0" w:line="240" w:lineRule="auto"/>
        <w:jc w:val="both"/>
        <w:rPr>
          <w:rFonts w:ascii="Times New Roman" w:hAnsi="Times New Roman" w:cs="Times New Roman"/>
          <w:sz w:val="20"/>
          <w:szCs w:val="20"/>
          <w:shd w:val="clear" w:color="auto" w:fill="FFFFFF"/>
        </w:rPr>
      </w:pPr>
    </w:p>
    <w:p w14:paraId="2A015886" w14:textId="10ADCE78" w:rsidR="00293371" w:rsidRDefault="00293371" w:rsidP="007C6DEB">
      <w:pPr>
        <w:spacing w:after="0" w:line="240" w:lineRule="auto"/>
        <w:jc w:val="both"/>
        <w:rPr>
          <w:rFonts w:ascii="Times New Roman" w:hAnsi="Times New Roman" w:cs="Times New Roman"/>
          <w:sz w:val="20"/>
          <w:szCs w:val="20"/>
          <w:shd w:val="clear" w:color="auto" w:fill="FFFFFF"/>
        </w:rPr>
      </w:pPr>
    </w:p>
    <w:p w14:paraId="632AB5BE" w14:textId="09BE7E75" w:rsidR="007C6DEB" w:rsidRPr="007C6DEB" w:rsidRDefault="000854E4" w:rsidP="007C6DEB">
      <w:pPr>
        <w:kinsoku w:val="0"/>
        <w:overflowPunct w:val="0"/>
        <w:autoSpaceDE w:val="0"/>
        <w:autoSpaceDN w:val="0"/>
        <w:spacing w:after="0" w:line="240" w:lineRule="auto"/>
        <w:ind w:left="360"/>
        <w:rPr>
          <w:rFonts w:ascii="Times New Roman" w:eastAsia="Palatino Linotype" w:hAnsi="Times New Roman" w:cs="Times New Roman"/>
          <w:b/>
          <w:bCs/>
          <w:sz w:val="16"/>
          <w:szCs w:val="20"/>
        </w:rPr>
      </w:pPr>
      <w:bookmarkStart w:id="12" w:name="Table3"/>
      <w:r w:rsidRPr="007C6DEB">
        <w:rPr>
          <w:rFonts w:ascii="Times New Roman" w:eastAsia="Palatino Linotype" w:hAnsi="Times New Roman" w:cs="Times New Roman"/>
          <w:b/>
          <w:bCs/>
          <w:sz w:val="16"/>
          <w:szCs w:val="20"/>
        </w:rPr>
        <w:lastRenderedPageBreak/>
        <w:t>Table</w:t>
      </w:r>
      <w:r w:rsidR="001D4F79">
        <w:rPr>
          <w:rFonts w:ascii="Times New Roman" w:eastAsia="Palatino Linotype" w:hAnsi="Times New Roman" w:cs="Times New Roman"/>
          <w:b/>
          <w:bCs/>
          <w:sz w:val="16"/>
          <w:szCs w:val="20"/>
        </w:rPr>
        <w:t xml:space="preserve"> 3</w:t>
      </w:r>
      <w:bookmarkEnd w:id="12"/>
      <w:r w:rsidR="007C6DEB" w:rsidRPr="007C6DEB">
        <w:rPr>
          <w:rFonts w:ascii="Times New Roman" w:eastAsia="Palatino Linotype" w:hAnsi="Times New Roman" w:cs="Times New Roman"/>
          <w:b/>
          <w:bCs/>
          <w:sz w:val="16"/>
          <w:szCs w:val="20"/>
        </w:rPr>
        <w:t xml:space="preserve">. </w:t>
      </w:r>
    </w:p>
    <w:p w14:paraId="4C1627B7" w14:textId="6686F9D1" w:rsidR="000854E4" w:rsidRPr="007C6DEB" w:rsidRDefault="000854E4" w:rsidP="007C6DEB">
      <w:pPr>
        <w:kinsoku w:val="0"/>
        <w:overflowPunct w:val="0"/>
        <w:autoSpaceDE w:val="0"/>
        <w:autoSpaceDN w:val="0"/>
        <w:spacing w:after="0" w:line="240" w:lineRule="auto"/>
        <w:ind w:left="360"/>
        <w:rPr>
          <w:rFonts w:ascii="Times New Roman" w:eastAsia="Palatino Linotype" w:hAnsi="Times New Roman" w:cs="Times New Roman"/>
          <w:b/>
          <w:bCs/>
          <w:sz w:val="16"/>
          <w:szCs w:val="20"/>
        </w:rPr>
      </w:pPr>
      <w:r w:rsidRPr="007C6DEB">
        <w:rPr>
          <w:rFonts w:ascii="Times New Roman" w:eastAsia="Palatino Linotype" w:hAnsi="Times New Roman" w:cs="Times New Roman"/>
          <w:bCs/>
          <w:sz w:val="16"/>
          <w:szCs w:val="20"/>
        </w:rPr>
        <w:t xml:space="preserve">Estimation of </w:t>
      </w:r>
      <w:r w:rsidR="007C6DEB" w:rsidRPr="007C6DEB">
        <w:rPr>
          <w:rFonts w:ascii="Times New Roman" w:eastAsia="Palatino Linotype" w:hAnsi="Times New Roman" w:cs="Times New Roman"/>
          <w:bCs/>
          <w:sz w:val="16"/>
          <w:szCs w:val="20"/>
        </w:rPr>
        <w:t>autoregressive distribution lag.</w:t>
      </w:r>
    </w:p>
    <w:tbl>
      <w:tblPr>
        <w:tblW w:w="9175"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73"/>
        <w:gridCol w:w="1402"/>
        <w:gridCol w:w="1269"/>
        <w:gridCol w:w="1269"/>
        <w:gridCol w:w="1457"/>
        <w:gridCol w:w="1705"/>
      </w:tblGrid>
      <w:tr w:rsidR="000854E4" w:rsidRPr="004B7B66" w14:paraId="66FFDDEA" w14:textId="77777777" w:rsidTr="00293371">
        <w:trPr>
          <w:trHeight w:val="325"/>
          <w:jc w:val="center"/>
        </w:trPr>
        <w:tc>
          <w:tcPr>
            <w:tcW w:w="2073" w:type="dxa"/>
            <w:shd w:val="clear" w:color="auto" w:fill="auto"/>
            <w:vAlign w:val="center"/>
          </w:tcPr>
          <w:p w14:paraId="08FE6410" w14:textId="77777777" w:rsidR="000854E4" w:rsidRPr="007C6DEB" w:rsidRDefault="000854E4" w:rsidP="004B7B66">
            <w:pPr>
              <w:autoSpaceDE w:val="0"/>
              <w:autoSpaceDN w:val="0"/>
              <w:adjustRightInd w:val="0"/>
              <w:spacing w:after="0" w:line="240" w:lineRule="auto"/>
              <w:jc w:val="both"/>
              <w:rPr>
                <w:rFonts w:ascii="Times New Roman" w:hAnsi="Times New Roman" w:cs="Times New Roman"/>
                <w:b/>
                <w:sz w:val="20"/>
                <w:szCs w:val="20"/>
              </w:rPr>
            </w:pPr>
            <w:r w:rsidRPr="007C6DEB">
              <w:rPr>
                <w:rFonts w:ascii="Times New Roman" w:hAnsi="Times New Roman" w:cs="Times New Roman"/>
                <w:b/>
                <w:sz w:val="20"/>
                <w:szCs w:val="20"/>
              </w:rPr>
              <w:t>Variable</w:t>
            </w:r>
          </w:p>
        </w:tc>
        <w:tc>
          <w:tcPr>
            <w:tcW w:w="1402" w:type="dxa"/>
            <w:shd w:val="clear" w:color="auto" w:fill="auto"/>
          </w:tcPr>
          <w:p w14:paraId="22515F5B" w14:textId="77777777" w:rsidR="000854E4" w:rsidRPr="007C6DEB" w:rsidRDefault="000854E4" w:rsidP="0064744C">
            <w:pPr>
              <w:autoSpaceDE w:val="0"/>
              <w:autoSpaceDN w:val="0"/>
              <w:adjustRightInd w:val="0"/>
              <w:spacing w:after="0" w:line="240" w:lineRule="auto"/>
              <w:jc w:val="center"/>
              <w:rPr>
                <w:rFonts w:ascii="Times New Roman" w:hAnsi="Times New Roman" w:cs="Times New Roman"/>
                <w:b/>
                <w:sz w:val="20"/>
                <w:szCs w:val="20"/>
              </w:rPr>
            </w:pPr>
            <w:r w:rsidRPr="007C6DEB">
              <w:rPr>
                <w:rFonts w:ascii="Times New Roman" w:hAnsi="Times New Roman" w:cs="Times New Roman"/>
                <w:b/>
                <w:sz w:val="20"/>
                <w:szCs w:val="20"/>
              </w:rPr>
              <w:t>Model 1: IDR-USD Volatility</w:t>
            </w:r>
          </w:p>
        </w:tc>
        <w:tc>
          <w:tcPr>
            <w:tcW w:w="1269" w:type="dxa"/>
            <w:shd w:val="clear" w:color="auto" w:fill="auto"/>
            <w:vAlign w:val="center"/>
          </w:tcPr>
          <w:p w14:paraId="26C3D99C" w14:textId="77777777" w:rsidR="000854E4" w:rsidRPr="007C6DEB" w:rsidRDefault="000854E4" w:rsidP="0064744C">
            <w:pPr>
              <w:autoSpaceDE w:val="0"/>
              <w:autoSpaceDN w:val="0"/>
              <w:adjustRightInd w:val="0"/>
              <w:spacing w:after="0" w:line="240" w:lineRule="auto"/>
              <w:jc w:val="center"/>
              <w:rPr>
                <w:rFonts w:ascii="Times New Roman" w:hAnsi="Times New Roman" w:cs="Times New Roman"/>
                <w:b/>
                <w:sz w:val="20"/>
                <w:szCs w:val="20"/>
              </w:rPr>
            </w:pPr>
            <w:r w:rsidRPr="007C6DEB">
              <w:rPr>
                <w:rFonts w:ascii="Times New Roman" w:hAnsi="Times New Roman" w:cs="Times New Roman"/>
                <w:b/>
                <w:sz w:val="20"/>
                <w:szCs w:val="20"/>
              </w:rPr>
              <w:t>Model 2: IDR-SGD Volatility</w:t>
            </w:r>
          </w:p>
        </w:tc>
        <w:tc>
          <w:tcPr>
            <w:tcW w:w="1269" w:type="dxa"/>
            <w:vAlign w:val="center"/>
          </w:tcPr>
          <w:p w14:paraId="42800E50" w14:textId="77777777" w:rsidR="000854E4" w:rsidRPr="007C6DEB" w:rsidRDefault="000854E4" w:rsidP="0064744C">
            <w:pPr>
              <w:autoSpaceDE w:val="0"/>
              <w:autoSpaceDN w:val="0"/>
              <w:adjustRightInd w:val="0"/>
              <w:spacing w:after="0" w:line="240" w:lineRule="auto"/>
              <w:jc w:val="center"/>
              <w:rPr>
                <w:rFonts w:ascii="Times New Roman" w:hAnsi="Times New Roman" w:cs="Times New Roman"/>
                <w:b/>
                <w:sz w:val="20"/>
                <w:szCs w:val="20"/>
              </w:rPr>
            </w:pPr>
            <w:r w:rsidRPr="007C6DEB">
              <w:rPr>
                <w:rFonts w:ascii="Times New Roman" w:hAnsi="Times New Roman" w:cs="Times New Roman"/>
                <w:b/>
                <w:sz w:val="20"/>
                <w:szCs w:val="20"/>
              </w:rPr>
              <w:t>Model 3: IDR-AUD Volatility</w:t>
            </w:r>
          </w:p>
        </w:tc>
        <w:tc>
          <w:tcPr>
            <w:tcW w:w="1457" w:type="dxa"/>
            <w:vAlign w:val="center"/>
          </w:tcPr>
          <w:p w14:paraId="45B1E855" w14:textId="77777777" w:rsidR="000854E4" w:rsidRPr="007C6DEB" w:rsidRDefault="000854E4" w:rsidP="0064744C">
            <w:pPr>
              <w:autoSpaceDE w:val="0"/>
              <w:autoSpaceDN w:val="0"/>
              <w:adjustRightInd w:val="0"/>
              <w:spacing w:after="0" w:line="240" w:lineRule="auto"/>
              <w:jc w:val="center"/>
              <w:rPr>
                <w:rFonts w:ascii="Times New Roman" w:hAnsi="Times New Roman" w:cs="Times New Roman"/>
                <w:b/>
                <w:sz w:val="20"/>
                <w:szCs w:val="20"/>
              </w:rPr>
            </w:pPr>
            <w:r w:rsidRPr="007C6DEB">
              <w:rPr>
                <w:rFonts w:ascii="Times New Roman" w:hAnsi="Times New Roman" w:cs="Times New Roman"/>
                <w:b/>
                <w:sz w:val="20"/>
                <w:szCs w:val="20"/>
              </w:rPr>
              <w:t>Model 4: IDR-GBP Volatility</w:t>
            </w:r>
          </w:p>
        </w:tc>
        <w:tc>
          <w:tcPr>
            <w:tcW w:w="1705" w:type="dxa"/>
            <w:vAlign w:val="center"/>
          </w:tcPr>
          <w:p w14:paraId="552AD37A" w14:textId="77777777" w:rsidR="000854E4" w:rsidRPr="007C6DEB" w:rsidRDefault="000854E4" w:rsidP="0064744C">
            <w:pPr>
              <w:autoSpaceDE w:val="0"/>
              <w:autoSpaceDN w:val="0"/>
              <w:adjustRightInd w:val="0"/>
              <w:spacing w:after="0" w:line="240" w:lineRule="auto"/>
              <w:jc w:val="center"/>
              <w:rPr>
                <w:rFonts w:ascii="Times New Roman" w:hAnsi="Times New Roman" w:cs="Times New Roman"/>
                <w:b/>
                <w:sz w:val="20"/>
                <w:szCs w:val="20"/>
              </w:rPr>
            </w:pPr>
            <w:r w:rsidRPr="007C6DEB">
              <w:rPr>
                <w:rFonts w:ascii="Times New Roman" w:hAnsi="Times New Roman" w:cs="Times New Roman"/>
                <w:b/>
                <w:sz w:val="20"/>
                <w:szCs w:val="20"/>
              </w:rPr>
              <w:t>Model 5: IDR-EURO Volatility</w:t>
            </w:r>
          </w:p>
        </w:tc>
      </w:tr>
      <w:tr w:rsidR="00293371" w:rsidRPr="004B7B66" w14:paraId="78B1F991" w14:textId="77777777" w:rsidTr="009C1AAD">
        <w:trPr>
          <w:trHeight w:val="60"/>
          <w:jc w:val="center"/>
        </w:trPr>
        <w:tc>
          <w:tcPr>
            <w:tcW w:w="9175" w:type="dxa"/>
            <w:gridSpan w:val="6"/>
            <w:shd w:val="clear" w:color="auto" w:fill="auto"/>
            <w:vAlign w:val="center"/>
          </w:tcPr>
          <w:p w14:paraId="40F456C7" w14:textId="1AB737B6" w:rsidR="00293371" w:rsidRPr="00293371" w:rsidRDefault="00293371" w:rsidP="004B7B66">
            <w:pPr>
              <w:autoSpaceDE w:val="0"/>
              <w:autoSpaceDN w:val="0"/>
              <w:adjustRightInd w:val="0"/>
              <w:spacing w:after="0" w:line="240" w:lineRule="auto"/>
              <w:jc w:val="both"/>
              <w:rPr>
                <w:rFonts w:ascii="Times New Roman" w:hAnsi="Times New Roman" w:cs="Times New Roman"/>
                <w:b/>
                <w:sz w:val="20"/>
                <w:szCs w:val="20"/>
              </w:rPr>
            </w:pPr>
            <w:r w:rsidRPr="00293371">
              <w:rPr>
                <w:rFonts w:ascii="Times New Roman" w:hAnsi="Times New Roman" w:cs="Times New Roman"/>
                <w:b/>
                <w:sz w:val="20"/>
                <w:szCs w:val="20"/>
              </w:rPr>
              <w:t>Long-Run Coefficients</w:t>
            </w:r>
          </w:p>
        </w:tc>
      </w:tr>
      <w:tr w:rsidR="000854E4" w:rsidRPr="004B7B66" w14:paraId="315B95CC" w14:textId="77777777" w:rsidTr="00293371">
        <w:trPr>
          <w:trHeight w:val="79"/>
          <w:jc w:val="center"/>
        </w:trPr>
        <w:tc>
          <w:tcPr>
            <w:tcW w:w="2073" w:type="dxa"/>
            <w:shd w:val="clear" w:color="auto" w:fill="auto"/>
            <w:vAlign w:val="center"/>
          </w:tcPr>
          <w:p w14:paraId="5EC01CD8" w14:textId="09274370" w:rsidR="000854E4" w:rsidRPr="004B7B66" w:rsidRDefault="000854E4"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C</w:t>
            </w:r>
            <w:r w:rsidR="00612245">
              <w:rPr>
                <w:rFonts w:ascii="Times New Roman" w:hAnsi="Times New Roman" w:cs="Times New Roman"/>
                <w:sz w:val="20"/>
                <w:szCs w:val="20"/>
              </w:rPr>
              <w:t xml:space="preserve">entral </w:t>
            </w:r>
            <w:r w:rsidRPr="004B7B66">
              <w:rPr>
                <w:rFonts w:ascii="Times New Roman" w:hAnsi="Times New Roman" w:cs="Times New Roman"/>
                <w:sz w:val="20"/>
                <w:szCs w:val="20"/>
              </w:rPr>
              <w:t>B</w:t>
            </w:r>
            <w:r w:rsidR="00612245">
              <w:rPr>
                <w:rFonts w:ascii="Times New Roman" w:hAnsi="Times New Roman" w:cs="Times New Roman"/>
                <w:sz w:val="20"/>
                <w:szCs w:val="20"/>
              </w:rPr>
              <w:t>ank</w:t>
            </w:r>
            <w:r w:rsidRPr="004B7B66">
              <w:rPr>
                <w:rFonts w:ascii="Times New Roman" w:hAnsi="Times New Roman" w:cs="Times New Roman"/>
                <w:sz w:val="20"/>
                <w:szCs w:val="20"/>
              </w:rPr>
              <w:t xml:space="preserve"> Rate</w:t>
            </w:r>
          </w:p>
          <w:p w14:paraId="0B1F7D56" w14:textId="77777777" w:rsidR="000854E4" w:rsidRPr="004B7B66" w:rsidRDefault="000854E4" w:rsidP="004B7B66">
            <w:pPr>
              <w:autoSpaceDE w:val="0"/>
              <w:autoSpaceDN w:val="0"/>
              <w:adjustRightInd w:val="0"/>
              <w:spacing w:after="0" w:line="240" w:lineRule="auto"/>
              <w:jc w:val="both"/>
              <w:rPr>
                <w:rFonts w:ascii="Times New Roman" w:hAnsi="Times New Roman" w:cs="Times New Roman"/>
                <w:sz w:val="20"/>
                <w:szCs w:val="20"/>
              </w:rPr>
            </w:pPr>
          </w:p>
        </w:tc>
        <w:tc>
          <w:tcPr>
            <w:tcW w:w="1402" w:type="dxa"/>
            <w:shd w:val="clear" w:color="auto" w:fill="auto"/>
          </w:tcPr>
          <w:p w14:paraId="5218112D" w14:textId="25A99F3A"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0.63***</w:t>
            </w:r>
          </w:p>
          <w:p w14:paraId="0057C963" w14:textId="0F919208"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(0.03)</w:t>
            </w:r>
          </w:p>
        </w:tc>
        <w:tc>
          <w:tcPr>
            <w:tcW w:w="1269" w:type="dxa"/>
            <w:shd w:val="clear" w:color="auto" w:fill="auto"/>
          </w:tcPr>
          <w:p w14:paraId="42D58CDE" w14:textId="2624FAB7"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0.07***</w:t>
            </w:r>
          </w:p>
          <w:p w14:paraId="1589F971" w14:textId="37F55C42"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(0.02)</w:t>
            </w:r>
          </w:p>
        </w:tc>
        <w:tc>
          <w:tcPr>
            <w:tcW w:w="1269" w:type="dxa"/>
          </w:tcPr>
          <w:p w14:paraId="69332F47" w14:textId="07033729"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0.54***</w:t>
            </w:r>
          </w:p>
          <w:p w14:paraId="6BA99EB7" w14:textId="25308BB0"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(0.04)</w:t>
            </w:r>
          </w:p>
        </w:tc>
        <w:tc>
          <w:tcPr>
            <w:tcW w:w="1457" w:type="dxa"/>
          </w:tcPr>
          <w:p w14:paraId="653AD035" w14:textId="07C5112E"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0.47***</w:t>
            </w:r>
          </w:p>
          <w:p w14:paraId="1C5279AB" w14:textId="1DC4EE3C"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(0.02)</w:t>
            </w:r>
          </w:p>
        </w:tc>
        <w:tc>
          <w:tcPr>
            <w:tcW w:w="1705" w:type="dxa"/>
          </w:tcPr>
          <w:p w14:paraId="231244A1" w14:textId="03874C95"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0.47***</w:t>
            </w:r>
          </w:p>
          <w:p w14:paraId="0EDF8E1D" w14:textId="0740F758"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(0.02)</w:t>
            </w:r>
          </w:p>
        </w:tc>
      </w:tr>
      <w:tr w:rsidR="000854E4" w:rsidRPr="004B7B66" w14:paraId="1CE6BE8E" w14:textId="77777777" w:rsidTr="00293371">
        <w:trPr>
          <w:trHeight w:val="70"/>
          <w:jc w:val="center"/>
        </w:trPr>
        <w:tc>
          <w:tcPr>
            <w:tcW w:w="2073" w:type="dxa"/>
            <w:shd w:val="clear" w:color="auto" w:fill="auto"/>
            <w:vAlign w:val="center"/>
          </w:tcPr>
          <w:p w14:paraId="218E93D8" w14:textId="77777777" w:rsidR="000854E4" w:rsidRPr="004B7B66" w:rsidRDefault="000854E4"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Output Gap</w:t>
            </w:r>
          </w:p>
        </w:tc>
        <w:tc>
          <w:tcPr>
            <w:tcW w:w="1402" w:type="dxa"/>
            <w:shd w:val="clear" w:color="auto" w:fill="auto"/>
          </w:tcPr>
          <w:p w14:paraId="75CA8C0C" w14:textId="4579F473"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-14.9**</w:t>
            </w:r>
          </w:p>
          <w:p w14:paraId="766BAC9B" w14:textId="0FCC8049"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(7.34)</w:t>
            </w:r>
          </w:p>
        </w:tc>
        <w:tc>
          <w:tcPr>
            <w:tcW w:w="1269" w:type="dxa"/>
            <w:shd w:val="clear" w:color="auto" w:fill="auto"/>
          </w:tcPr>
          <w:p w14:paraId="1BC9A714" w14:textId="5A3C1A94"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-0.56**</w:t>
            </w:r>
          </w:p>
          <w:p w14:paraId="221B6BFB" w14:textId="4B0D212A"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(0.27)</w:t>
            </w:r>
          </w:p>
        </w:tc>
        <w:tc>
          <w:tcPr>
            <w:tcW w:w="1269" w:type="dxa"/>
          </w:tcPr>
          <w:p w14:paraId="110A3B20" w14:textId="6027E803"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-10.1*</w:t>
            </w:r>
          </w:p>
          <w:p w14:paraId="508B0447" w14:textId="78D87E60"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(5.37)</w:t>
            </w:r>
          </w:p>
        </w:tc>
        <w:tc>
          <w:tcPr>
            <w:tcW w:w="1457" w:type="dxa"/>
          </w:tcPr>
          <w:p w14:paraId="003006D7" w14:textId="287A8413"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-12.6**</w:t>
            </w:r>
          </w:p>
          <w:p w14:paraId="4D8320EC" w14:textId="783A035F"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(5.56)</w:t>
            </w:r>
          </w:p>
        </w:tc>
        <w:tc>
          <w:tcPr>
            <w:tcW w:w="1705" w:type="dxa"/>
          </w:tcPr>
          <w:p w14:paraId="3A92EE21" w14:textId="2ED921EB"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-12.2**</w:t>
            </w:r>
          </w:p>
          <w:p w14:paraId="31C63B89" w14:textId="51A70DC6"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(5.58)</w:t>
            </w:r>
          </w:p>
        </w:tc>
      </w:tr>
      <w:tr w:rsidR="000854E4" w:rsidRPr="004B7B66" w14:paraId="71BC9290" w14:textId="77777777" w:rsidTr="00293371">
        <w:trPr>
          <w:trHeight w:val="70"/>
          <w:jc w:val="center"/>
        </w:trPr>
        <w:tc>
          <w:tcPr>
            <w:tcW w:w="2073" w:type="dxa"/>
            <w:shd w:val="clear" w:color="auto" w:fill="auto"/>
            <w:vAlign w:val="center"/>
          </w:tcPr>
          <w:p w14:paraId="5B290183" w14:textId="77777777" w:rsidR="000854E4" w:rsidRPr="004B7B66" w:rsidRDefault="000854E4"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Money per GDP</w:t>
            </w:r>
          </w:p>
        </w:tc>
        <w:tc>
          <w:tcPr>
            <w:tcW w:w="1402" w:type="dxa"/>
            <w:shd w:val="clear" w:color="auto" w:fill="auto"/>
          </w:tcPr>
          <w:p w14:paraId="4F2BD3B5" w14:textId="6D399BF1"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-0.11***</w:t>
            </w:r>
          </w:p>
          <w:p w14:paraId="5F65ADC7" w14:textId="347A7F8D"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(0.01)</w:t>
            </w:r>
          </w:p>
        </w:tc>
        <w:tc>
          <w:tcPr>
            <w:tcW w:w="1269" w:type="dxa"/>
            <w:shd w:val="clear" w:color="auto" w:fill="auto"/>
          </w:tcPr>
          <w:p w14:paraId="5AC8A221" w14:textId="6601C456"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-0.03</w:t>
            </w:r>
          </w:p>
          <w:p w14:paraId="5E00A8F9" w14:textId="6A79B72A"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(0.03)</w:t>
            </w:r>
          </w:p>
        </w:tc>
        <w:tc>
          <w:tcPr>
            <w:tcW w:w="1269" w:type="dxa"/>
          </w:tcPr>
          <w:p w14:paraId="5A5F4241" w14:textId="4A0E8FA5"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-0.33***</w:t>
            </w:r>
          </w:p>
          <w:p w14:paraId="137DA3BD" w14:textId="24731800"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(0.10)</w:t>
            </w:r>
          </w:p>
        </w:tc>
        <w:tc>
          <w:tcPr>
            <w:tcW w:w="1457" w:type="dxa"/>
          </w:tcPr>
          <w:p w14:paraId="55FF4142" w14:textId="51277033"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-0.07***</w:t>
            </w:r>
          </w:p>
          <w:p w14:paraId="3C775246" w14:textId="601BB283"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(0.01)</w:t>
            </w:r>
          </w:p>
        </w:tc>
        <w:tc>
          <w:tcPr>
            <w:tcW w:w="1705" w:type="dxa"/>
          </w:tcPr>
          <w:p w14:paraId="489C2457" w14:textId="7F5D32BB"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-0.08***</w:t>
            </w:r>
          </w:p>
          <w:p w14:paraId="292B0070" w14:textId="2C8EB97B"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(0.01)</w:t>
            </w:r>
          </w:p>
        </w:tc>
      </w:tr>
      <w:tr w:rsidR="000854E4" w:rsidRPr="004B7B66" w14:paraId="3129B039" w14:textId="77777777" w:rsidTr="00293371">
        <w:trPr>
          <w:trHeight w:val="70"/>
          <w:jc w:val="center"/>
        </w:trPr>
        <w:tc>
          <w:tcPr>
            <w:tcW w:w="2073" w:type="dxa"/>
            <w:shd w:val="clear" w:color="auto" w:fill="auto"/>
            <w:vAlign w:val="center"/>
          </w:tcPr>
          <w:p w14:paraId="6A4FA242" w14:textId="77777777" w:rsidR="000854E4" w:rsidRPr="004B7B66" w:rsidRDefault="000854E4"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Credit Gap</w:t>
            </w:r>
          </w:p>
        </w:tc>
        <w:tc>
          <w:tcPr>
            <w:tcW w:w="1402" w:type="dxa"/>
            <w:shd w:val="clear" w:color="auto" w:fill="auto"/>
          </w:tcPr>
          <w:p w14:paraId="0C10B93D" w14:textId="7831D91F"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0.06***</w:t>
            </w:r>
          </w:p>
          <w:p w14:paraId="789F04EA" w14:textId="20920DAC"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(0.02)</w:t>
            </w:r>
          </w:p>
        </w:tc>
        <w:tc>
          <w:tcPr>
            <w:tcW w:w="1269" w:type="dxa"/>
            <w:shd w:val="clear" w:color="auto" w:fill="auto"/>
          </w:tcPr>
          <w:p w14:paraId="078C8836" w14:textId="77AC9E9F"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B22DF0">
              <w:rPr>
                <w:rFonts w:ascii="Times New Roman" w:hAnsi="Times New Roman" w:cs="Times New Roman"/>
                <w:sz w:val="20"/>
                <w:szCs w:val="20"/>
              </w:rPr>
              <w:t>1</w:t>
            </w:r>
          </w:p>
          <w:p w14:paraId="35523531" w14:textId="38C1E284"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B22DF0">
              <w:rPr>
                <w:rFonts w:ascii="Times New Roman" w:hAnsi="Times New Roman" w:cs="Times New Roman"/>
                <w:sz w:val="20"/>
                <w:szCs w:val="20"/>
              </w:rPr>
              <w:t>1</w:t>
            </w:r>
            <w:r w:rsidRPr="004B7B66">
              <w:rPr>
                <w:rFonts w:ascii="Times New Roman" w:hAnsi="Times New Roman" w:cs="Times New Roman"/>
                <w:sz w:val="20"/>
                <w:szCs w:val="20"/>
              </w:rPr>
              <w:t>)</w:t>
            </w:r>
          </w:p>
        </w:tc>
        <w:tc>
          <w:tcPr>
            <w:tcW w:w="1269" w:type="dxa"/>
          </w:tcPr>
          <w:p w14:paraId="2DCF6DC5" w14:textId="1CC171CC"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-0.01</w:t>
            </w:r>
          </w:p>
          <w:p w14:paraId="09B2F7A9" w14:textId="1998FF78"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(0.02)</w:t>
            </w:r>
          </w:p>
        </w:tc>
        <w:tc>
          <w:tcPr>
            <w:tcW w:w="1457" w:type="dxa"/>
          </w:tcPr>
          <w:p w14:paraId="31D3C0BF" w14:textId="54B44A21"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0.05***</w:t>
            </w:r>
          </w:p>
          <w:p w14:paraId="23963BA0" w14:textId="670F4E85"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(0.01)</w:t>
            </w:r>
          </w:p>
        </w:tc>
        <w:tc>
          <w:tcPr>
            <w:tcW w:w="1705" w:type="dxa"/>
          </w:tcPr>
          <w:p w14:paraId="557A339A" w14:textId="43251291"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0.04***</w:t>
            </w:r>
          </w:p>
          <w:p w14:paraId="4C1A89EA" w14:textId="1BF0EC6E"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(0.01)</w:t>
            </w:r>
          </w:p>
        </w:tc>
      </w:tr>
      <w:tr w:rsidR="00293371" w:rsidRPr="004B7B66" w14:paraId="648022DF" w14:textId="77777777" w:rsidTr="009C1AAD">
        <w:trPr>
          <w:trHeight w:val="60"/>
          <w:jc w:val="center"/>
        </w:trPr>
        <w:tc>
          <w:tcPr>
            <w:tcW w:w="9175" w:type="dxa"/>
            <w:gridSpan w:val="6"/>
            <w:shd w:val="clear" w:color="auto" w:fill="auto"/>
            <w:vAlign w:val="center"/>
          </w:tcPr>
          <w:p w14:paraId="65400802" w14:textId="483C539E" w:rsidR="00293371" w:rsidRPr="00293371" w:rsidRDefault="00293371" w:rsidP="00166854">
            <w:pPr>
              <w:autoSpaceDE w:val="0"/>
              <w:autoSpaceDN w:val="0"/>
              <w:adjustRightInd w:val="0"/>
              <w:spacing w:after="0" w:line="240" w:lineRule="auto"/>
              <w:rPr>
                <w:rFonts w:ascii="Times New Roman" w:hAnsi="Times New Roman" w:cs="Times New Roman"/>
                <w:b/>
                <w:sz w:val="20"/>
                <w:szCs w:val="20"/>
              </w:rPr>
            </w:pPr>
            <w:r w:rsidRPr="00293371">
              <w:rPr>
                <w:rFonts w:ascii="Times New Roman" w:hAnsi="Times New Roman" w:cs="Times New Roman"/>
                <w:b/>
                <w:sz w:val="20"/>
                <w:szCs w:val="20"/>
              </w:rPr>
              <w:t>Short-Run Coefficients</w:t>
            </w:r>
          </w:p>
        </w:tc>
      </w:tr>
      <w:tr w:rsidR="000854E4" w:rsidRPr="004B7B66" w14:paraId="5D729621" w14:textId="77777777" w:rsidTr="00293371">
        <w:trPr>
          <w:trHeight w:val="332"/>
          <w:jc w:val="center"/>
        </w:trPr>
        <w:tc>
          <w:tcPr>
            <w:tcW w:w="2073" w:type="dxa"/>
            <w:shd w:val="clear" w:color="auto" w:fill="auto"/>
            <w:vAlign w:val="center"/>
          </w:tcPr>
          <w:p w14:paraId="22C69F4D" w14:textId="77777777" w:rsidR="000854E4" w:rsidRPr="004B7B66" w:rsidRDefault="000854E4"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Error Corrections</w:t>
            </w:r>
          </w:p>
        </w:tc>
        <w:tc>
          <w:tcPr>
            <w:tcW w:w="1402" w:type="dxa"/>
            <w:shd w:val="clear" w:color="auto" w:fill="auto"/>
          </w:tcPr>
          <w:p w14:paraId="38DA2218" w14:textId="2FABFE7E"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-0.47***</w:t>
            </w:r>
          </w:p>
          <w:p w14:paraId="235AB362" w14:textId="13AAB07B"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(0.16)</w:t>
            </w:r>
          </w:p>
        </w:tc>
        <w:tc>
          <w:tcPr>
            <w:tcW w:w="1269" w:type="dxa"/>
            <w:shd w:val="clear" w:color="auto" w:fill="auto"/>
          </w:tcPr>
          <w:p w14:paraId="69A08713" w14:textId="5AAFF190"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-0.56***</w:t>
            </w:r>
          </w:p>
          <w:p w14:paraId="4E6AC0E3" w14:textId="2C4437FA"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(0.00</w:t>
            </w:r>
            <w:r w:rsidR="00B22DF0">
              <w:rPr>
                <w:rFonts w:ascii="Times New Roman" w:hAnsi="Times New Roman" w:cs="Times New Roman"/>
                <w:sz w:val="20"/>
                <w:szCs w:val="20"/>
              </w:rPr>
              <w:t>1</w:t>
            </w:r>
            <w:r w:rsidRPr="004B7B66">
              <w:rPr>
                <w:rFonts w:ascii="Times New Roman" w:hAnsi="Times New Roman" w:cs="Times New Roman"/>
                <w:sz w:val="20"/>
                <w:szCs w:val="20"/>
              </w:rPr>
              <w:t>)</w:t>
            </w:r>
          </w:p>
        </w:tc>
        <w:tc>
          <w:tcPr>
            <w:tcW w:w="1269" w:type="dxa"/>
          </w:tcPr>
          <w:p w14:paraId="7076AE43" w14:textId="17A6100A"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-0.55***</w:t>
            </w:r>
          </w:p>
          <w:p w14:paraId="14082C77" w14:textId="28EF38F6"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(0.20)</w:t>
            </w:r>
          </w:p>
        </w:tc>
        <w:tc>
          <w:tcPr>
            <w:tcW w:w="1457" w:type="dxa"/>
          </w:tcPr>
          <w:p w14:paraId="189E88E8" w14:textId="64934045"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-0.44***</w:t>
            </w:r>
          </w:p>
          <w:p w14:paraId="14F6DE30" w14:textId="54F79F28"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(0.17)</w:t>
            </w:r>
          </w:p>
        </w:tc>
        <w:tc>
          <w:tcPr>
            <w:tcW w:w="1705" w:type="dxa"/>
          </w:tcPr>
          <w:p w14:paraId="5DB689DD" w14:textId="6373BA99"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-0.45***</w:t>
            </w:r>
          </w:p>
          <w:p w14:paraId="3ED3C67E" w14:textId="13B58BD2"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(0.16)</w:t>
            </w:r>
          </w:p>
        </w:tc>
      </w:tr>
      <w:tr w:rsidR="000854E4" w:rsidRPr="004B7B66" w14:paraId="16AC4583" w14:textId="77777777" w:rsidTr="00293371">
        <w:trPr>
          <w:trHeight w:val="332"/>
          <w:jc w:val="center"/>
        </w:trPr>
        <w:tc>
          <w:tcPr>
            <w:tcW w:w="2073" w:type="dxa"/>
            <w:shd w:val="clear" w:color="auto" w:fill="auto"/>
            <w:vAlign w:val="center"/>
          </w:tcPr>
          <w:p w14:paraId="0FF65F56" w14:textId="698BDEFC" w:rsidR="000854E4" w:rsidRPr="004B7B66" w:rsidRDefault="000854E4"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Δ C</w:t>
            </w:r>
            <w:r w:rsidR="00612245">
              <w:rPr>
                <w:rFonts w:ascii="Times New Roman" w:hAnsi="Times New Roman" w:cs="Times New Roman"/>
                <w:sz w:val="20"/>
                <w:szCs w:val="20"/>
              </w:rPr>
              <w:t xml:space="preserve">entral </w:t>
            </w:r>
            <w:r w:rsidRPr="004B7B66">
              <w:rPr>
                <w:rFonts w:ascii="Times New Roman" w:hAnsi="Times New Roman" w:cs="Times New Roman"/>
                <w:sz w:val="20"/>
                <w:szCs w:val="20"/>
              </w:rPr>
              <w:t>B</w:t>
            </w:r>
            <w:r w:rsidR="00612245">
              <w:rPr>
                <w:rFonts w:ascii="Times New Roman" w:hAnsi="Times New Roman" w:cs="Times New Roman"/>
                <w:sz w:val="20"/>
                <w:szCs w:val="20"/>
              </w:rPr>
              <w:t>ank</w:t>
            </w:r>
            <w:r w:rsidRPr="004B7B66">
              <w:rPr>
                <w:rFonts w:ascii="Times New Roman" w:hAnsi="Times New Roman" w:cs="Times New Roman"/>
                <w:sz w:val="20"/>
                <w:szCs w:val="20"/>
              </w:rPr>
              <w:t xml:space="preserve"> Rate</w:t>
            </w:r>
          </w:p>
          <w:p w14:paraId="79B41691" w14:textId="77777777" w:rsidR="000854E4" w:rsidRPr="004B7B66" w:rsidRDefault="000854E4" w:rsidP="004B7B66">
            <w:pPr>
              <w:autoSpaceDE w:val="0"/>
              <w:autoSpaceDN w:val="0"/>
              <w:adjustRightInd w:val="0"/>
              <w:spacing w:after="0" w:line="240" w:lineRule="auto"/>
              <w:jc w:val="both"/>
              <w:rPr>
                <w:rFonts w:ascii="Times New Roman" w:hAnsi="Times New Roman" w:cs="Times New Roman"/>
                <w:sz w:val="20"/>
                <w:szCs w:val="20"/>
              </w:rPr>
            </w:pPr>
          </w:p>
        </w:tc>
        <w:tc>
          <w:tcPr>
            <w:tcW w:w="1402" w:type="dxa"/>
            <w:shd w:val="clear" w:color="auto" w:fill="auto"/>
          </w:tcPr>
          <w:p w14:paraId="0CD2BEF3" w14:textId="4241CA87"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1.47***</w:t>
            </w:r>
          </w:p>
          <w:p w14:paraId="0BF436F0" w14:textId="29EC70B1"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(0.11)</w:t>
            </w:r>
          </w:p>
        </w:tc>
        <w:tc>
          <w:tcPr>
            <w:tcW w:w="1269" w:type="dxa"/>
            <w:shd w:val="clear" w:color="auto" w:fill="auto"/>
          </w:tcPr>
          <w:p w14:paraId="32EC53AE" w14:textId="5CA62B3B"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B22DF0">
              <w:rPr>
                <w:rFonts w:ascii="Times New Roman" w:hAnsi="Times New Roman" w:cs="Times New Roman"/>
                <w:sz w:val="20"/>
                <w:szCs w:val="20"/>
              </w:rPr>
              <w:t>1</w:t>
            </w:r>
          </w:p>
          <w:p w14:paraId="2F53006C" w14:textId="2FF8EB1D"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(0.05)</w:t>
            </w:r>
          </w:p>
        </w:tc>
        <w:tc>
          <w:tcPr>
            <w:tcW w:w="1269" w:type="dxa"/>
          </w:tcPr>
          <w:p w14:paraId="1E43EA48" w14:textId="41966E7B"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1.12***</w:t>
            </w:r>
          </w:p>
          <w:p w14:paraId="2E7F84BA" w14:textId="38F97DF1"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(0.08)</w:t>
            </w:r>
          </w:p>
        </w:tc>
        <w:tc>
          <w:tcPr>
            <w:tcW w:w="1457" w:type="dxa"/>
          </w:tcPr>
          <w:p w14:paraId="6D13B2BA" w14:textId="6E6B88A3"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1.12***</w:t>
            </w:r>
          </w:p>
          <w:p w14:paraId="27BC7DA3" w14:textId="1465B3DC"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(0.08)</w:t>
            </w:r>
          </w:p>
        </w:tc>
        <w:tc>
          <w:tcPr>
            <w:tcW w:w="1705" w:type="dxa"/>
          </w:tcPr>
          <w:p w14:paraId="052C97A2" w14:textId="6C4034BF"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1.11***</w:t>
            </w:r>
          </w:p>
          <w:p w14:paraId="1AC1C4EC" w14:textId="52AFA2D1"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(0.08)</w:t>
            </w:r>
          </w:p>
        </w:tc>
      </w:tr>
      <w:tr w:rsidR="000854E4" w:rsidRPr="004B7B66" w14:paraId="72F87CEA" w14:textId="77777777" w:rsidTr="00293371">
        <w:trPr>
          <w:trHeight w:val="332"/>
          <w:jc w:val="center"/>
        </w:trPr>
        <w:tc>
          <w:tcPr>
            <w:tcW w:w="2073" w:type="dxa"/>
            <w:shd w:val="clear" w:color="auto" w:fill="auto"/>
            <w:vAlign w:val="center"/>
          </w:tcPr>
          <w:p w14:paraId="69F379C5" w14:textId="77777777" w:rsidR="000854E4" w:rsidRPr="004B7B66" w:rsidRDefault="000854E4"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Δ Output Gap</w:t>
            </w:r>
          </w:p>
          <w:p w14:paraId="3C9369D6" w14:textId="77777777" w:rsidR="000854E4" w:rsidRPr="004B7B66" w:rsidRDefault="000854E4" w:rsidP="004B7B66">
            <w:pPr>
              <w:autoSpaceDE w:val="0"/>
              <w:autoSpaceDN w:val="0"/>
              <w:adjustRightInd w:val="0"/>
              <w:spacing w:after="0" w:line="240" w:lineRule="auto"/>
              <w:jc w:val="both"/>
              <w:rPr>
                <w:rFonts w:ascii="Times New Roman" w:hAnsi="Times New Roman" w:cs="Times New Roman"/>
                <w:sz w:val="20"/>
                <w:szCs w:val="20"/>
              </w:rPr>
            </w:pPr>
          </w:p>
        </w:tc>
        <w:tc>
          <w:tcPr>
            <w:tcW w:w="1402" w:type="dxa"/>
            <w:shd w:val="clear" w:color="auto" w:fill="auto"/>
          </w:tcPr>
          <w:p w14:paraId="7E500676" w14:textId="006ADB99"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-11.3</w:t>
            </w:r>
          </w:p>
          <w:p w14:paraId="5F14E742" w14:textId="5E953472"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(11.0)</w:t>
            </w:r>
          </w:p>
        </w:tc>
        <w:tc>
          <w:tcPr>
            <w:tcW w:w="1269" w:type="dxa"/>
            <w:shd w:val="clear" w:color="auto" w:fill="auto"/>
          </w:tcPr>
          <w:p w14:paraId="3FF8BBB3" w14:textId="2159D3F4"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-0.43</w:t>
            </w:r>
          </w:p>
          <w:p w14:paraId="44458B02" w14:textId="3ABB5FCB"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(0.92)</w:t>
            </w:r>
          </w:p>
        </w:tc>
        <w:tc>
          <w:tcPr>
            <w:tcW w:w="1269" w:type="dxa"/>
          </w:tcPr>
          <w:p w14:paraId="3AF2A26B" w14:textId="38AD7BED"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-8.40</w:t>
            </w:r>
          </w:p>
          <w:p w14:paraId="094DC2C8" w14:textId="7F538A5C"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(8.37)</w:t>
            </w:r>
          </w:p>
        </w:tc>
        <w:tc>
          <w:tcPr>
            <w:tcW w:w="1457" w:type="dxa"/>
          </w:tcPr>
          <w:p w14:paraId="07363951" w14:textId="09FE2190"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-9.74</w:t>
            </w:r>
          </w:p>
          <w:p w14:paraId="464196EA" w14:textId="258ECE38"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(8.41)</w:t>
            </w:r>
          </w:p>
        </w:tc>
        <w:tc>
          <w:tcPr>
            <w:tcW w:w="1705" w:type="dxa"/>
          </w:tcPr>
          <w:p w14:paraId="5D477B94" w14:textId="30A920A2"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-8.56</w:t>
            </w:r>
          </w:p>
          <w:p w14:paraId="1A5CBE2D" w14:textId="6C1E9459"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(8.42)</w:t>
            </w:r>
          </w:p>
        </w:tc>
      </w:tr>
      <w:tr w:rsidR="000854E4" w:rsidRPr="004B7B66" w14:paraId="0C723C4E" w14:textId="77777777" w:rsidTr="00293371">
        <w:trPr>
          <w:trHeight w:val="332"/>
          <w:jc w:val="center"/>
        </w:trPr>
        <w:tc>
          <w:tcPr>
            <w:tcW w:w="2073" w:type="dxa"/>
            <w:shd w:val="clear" w:color="auto" w:fill="auto"/>
            <w:vAlign w:val="center"/>
          </w:tcPr>
          <w:p w14:paraId="41DD2288" w14:textId="77777777" w:rsidR="000854E4" w:rsidRPr="004B7B66" w:rsidRDefault="000854E4"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Δ Money per GDP</w:t>
            </w:r>
          </w:p>
        </w:tc>
        <w:tc>
          <w:tcPr>
            <w:tcW w:w="1402" w:type="dxa"/>
            <w:shd w:val="clear" w:color="auto" w:fill="auto"/>
          </w:tcPr>
          <w:p w14:paraId="5B828941" w14:textId="3FA00CCF"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1.35</w:t>
            </w:r>
          </w:p>
          <w:p w14:paraId="39D87840" w14:textId="1007F003"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(0.89)</w:t>
            </w:r>
          </w:p>
        </w:tc>
        <w:tc>
          <w:tcPr>
            <w:tcW w:w="1269" w:type="dxa"/>
            <w:shd w:val="clear" w:color="auto" w:fill="auto"/>
          </w:tcPr>
          <w:p w14:paraId="408A0FD5" w14:textId="6793AC58"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-0.15</w:t>
            </w:r>
          </w:p>
          <w:p w14:paraId="0B8E3D64" w14:textId="7E46E378"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(0.13)</w:t>
            </w:r>
          </w:p>
        </w:tc>
        <w:tc>
          <w:tcPr>
            <w:tcW w:w="1269" w:type="dxa"/>
          </w:tcPr>
          <w:p w14:paraId="6AD5E517" w14:textId="68DC379C"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0.83</w:t>
            </w:r>
          </w:p>
          <w:p w14:paraId="2AC2934D" w14:textId="4E6431D1"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(0.66)</w:t>
            </w:r>
          </w:p>
        </w:tc>
        <w:tc>
          <w:tcPr>
            <w:tcW w:w="1457" w:type="dxa"/>
          </w:tcPr>
          <w:p w14:paraId="0599B2D7" w14:textId="1A64206A"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1.11</w:t>
            </w:r>
          </w:p>
          <w:p w14:paraId="746E889E" w14:textId="3A093287"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(0.68)</w:t>
            </w:r>
          </w:p>
        </w:tc>
        <w:tc>
          <w:tcPr>
            <w:tcW w:w="1705" w:type="dxa"/>
          </w:tcPr>
          <w:p w14:paraId="4F7BFD2C" w14:textId="0481A17D"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1.08</w:t>
            </w:r>
          </w:p>
          <w:p w14:paraId="62AC70DA" w14:textId="7E47217A"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(0.68)</w:t>
            </w:r>
          </w:p>
        </w:tc>
      </w:tr>
      <w:tr w:rsidR="000854E4" w:rsidRPr="004B7B66" w14:paraId="53D8B2E3" w14:textId="77777777" w:rsidTr="00293371">
        <w:trPr>
          <w:trHeight w:val="332"/>
          <w:jc w:val="center"/>
        </w:trPr>
        <w:tc>
          <w:tcPr>
            <w:tcW w:w="2073" w:type="dxa"/>
            <w:shd w:val="clear" w:color="auto" w:fill="auto"/>
            <w:vAlign w:val="center"/>
          </w:tcPr>
          <w:p w14:paraId="15803F66" w14:textId="77777777" w:rsidR="000854E4" w:rsidRPr="004B7B66" w:rsidRDefault="000854E4"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Δ Credit Gap</w:t>
            </w:r>
          </w:p>
        </w:tc>
        <w:tc>
          <w:tcPr>
            <w:tcW w:w="1402" w:type="dxa"/>
            <w:shd w:val="clear" w:color="auto" w:fill="auto"/>
          </w:tcPr>
          <w:p w14:paraId="740CF555" w14:textId="60758DAB"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0.68***</w:t>
            </w:r>
          </w:p>
          <w:p w14:paraId="302CB072" w14:textId="6A3DCE3B"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(0.16)</w:t>
            </w:r>
          </w:p>
        </w:tc>
        <w:tc>
          <w:tcPr>
            <w:tcW w:w="1269" w:type="dxa"/>
            <w:shd w:val="clear" w:color="auto" w:fill="auto"/>
          </w:tcPr>
          <w:p w14:paraId="3D79D4EA" w14:textId="6A569D85"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-0.03</w:t>
            </w:r>
          </w:p>
          <w:p w14:paraId="05E9E423" w14:textId="6802CCC7"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(0.04)</w:t>
            </w:r>
          </w:p>
        </w:tc>
        <w:tc>
          <w:tcPr>
            <w:tcW w:w="1269" w:type="dxa"/>
          </w:tcPr>
          <w:p w14:paraId="78E1BEFF" w14:textId="3FE55B22"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0.43***</w:t>
            </w:r>
          </w:p>
          <w:p w14:paraId="076923E4" w14:textId="7EA32826"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(0.12)</w:t>
            </w:r>
          </w:p>
        </w:tc>
        <w:tc>
          <w:tcPr>
            <w:tcW w:w="1457" w:type="dxa"/>
          </w:tcPr>
          <w:p w14:paraId="6792A0FE" w14:textId="741C76EB"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0.52</w:t>
            </w:r>
          </w:p>
          <w:p w14:paraId="7F370ED4" w14:textId="5A47A5BC"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(0.12)</w:t>
            </w:r>
          </w:p>
        </w:tc>
        <w:tc>
          <w:tcPr>
            <w:tcW w:w="1705" w:type="dxa"/>
          </w:tcPr>
          <w:p w14:paraId="7E40E40E" w14:textId="716D8835"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0.52***</w:t>
            </w:r>
          </w:p>
          <w:p w14:paraId="1A79F5D5" w14:textId="6F864AAA"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(0.20)</w:t>
            </w:r>
          </w:p>
        </w:tc>
      </w:tr>
      <w:tr w:rsidR="000854E4" w:rsidRPr="004B7B66" w14:paraId="0FCF3E0E" w14:textId="77777777" w:rsidTr="00293371">
        <w:trPr>
          <w:trHeight w:val="332"/>
          <w:jc w:val="center"/>
        </w:trPr>
        <w:tc>
          <w:tcPr>
            <w:tcW w:w="2073" w:type="dxa"/>
            <w:shd w:val="clear" w:color="auto" w:fill="auto"/>
            <w:vAlign w:val="center"/>
          </w:tcPr>
          <w:p w14:paraId="3B538562" w14:textId="77777777" w:rsidR="000854E4" w:rsidRPr="004B7B66" w:rsidRDefault="000854E4"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R</w:t>
            </w:r>
            <w:r w:rsidRPr="004B7B66">
              <w:rPr>
                <w:rFonts w:ascii="Times New Roman" w:hAnsi="Times New Roman" w:cs="Times New Roman"/>
                <w:sz w:val="20"/>
                <w:szCs w:val="20"/>
                <w:vertAlign w:val="superscript"/>
              </w:rPr>
              <w:t>2</w:t>
            </w:r>
          </w:p>
        </w:tc>
        <w:tc>
          <w:tcPr>
            <w:tcW w:w="1402" w:type="dxa"/>
            <w:shd w:val="clear" w:color="auto" w:fill="auto"/>
          </w:tcPr>
          <w:p w14:paraId="0E30CF0E" w14:textId="18E061F1"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0.79</w:t>
            </w:r>
          </w:p>
        </w:tc>
        <w:tc>
          <w:tcPr>
            <w:tcW w:w="1269" w:type="dxa"/>
            <w:shd w:val="clear" w:color="auto" w:fill="auto"/>
          </w:tcPr>
          <w:p w14:paraId="01840662" w14:textId="4C47F54E"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0.59</w:t>
            </w:r>
          </w:p>
        </w:tc>
        <w:tc>
          <w:tcPr>
            <w:tcW w:w="1269" w:type="dxa"/>
          </w:tcPr>
          <w:p w14:paraId="40F59D37" w14:textId="68ABBA11"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0.65</w:t>
            </w:r>
          </w:p>
        </w:tc>
        <w:tc>
          <w:tcPr>
            <w:tcW w:w="1457" w:type="dxa"/>
          </w:tcPr>
          <w:p w14:paraId="299D28FD" w14:textId="794EDC53"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0.62</w:t>
            </w:r>
          </w:p>
        </w:tc>
        <w:tc>
          <w:tcPr>
            <w:tcW w:w="1705" w:type="dxa"/>
          </w:tcPr>
          <w:p w14:paraId="0D3A4755" w14:textId="53F03095" w:rsidR="000854E4" w:rsidRPr="004B7B66" w:rsidRDefault="000854E4" w:rsidP="00166854">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0.69</w:t>
            </w:r>
          </w:p>
        </w:tc>
      </w:tr>
    </w:tbl>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571"/>
      </w:tblGrid>
      <w:tr w:rsidR="00E57B2D" w14:paraId="3F7C8334" w14:textId="77777777" w:rsidTr="002D6936">
        <w:tc>
          <w:tcPr>
            <w:tcW w:w="543" w:type="dxa"/>
          </w:tcPr>
          <w:p w14:paraId="683962F9" w14:textId="2B1B06E9" w:rsidR="00E57B2D" w:rsidRDefault="00E57B2D" w:rsidP="0099004C">
            <w:pPr>
              <w:pStyle w:val="BodyText2"/>
              <w:spacing w:after="0" w:line="240" w:lineRule="auto"/>
              <w:rPr>
                <w:sz w:val="20"/>
                <w:szCs w:val="20"/>
                <w:shd w:val="clear" w:color="auto" w:fill="FFFFFF"/>
              </w:rPr>
            </w:pPr>
            <w:r w:rsidRPr="00736B8D">
              <w:rPr>
                <w:rFonts w:eastAsia="Palatino Linotype"/>
                <w:b/>
                <w:bCs/>
                <w:sz w:val="14"/>
                <w:szCs w:val="18"/>
              </w:rPr>
              <w:t>Note</w:t>
            </w:r>
            <w:r>
              <w:rPr>
                <w:rFonts w:eastAsia="Palatino Linotype"/>
                <w:b/>
                <w:bCs/>
                <w:sz w:val="14"/>
                <w:szCs w:val="18"/>
              </w:rPr>
              <w:t>:</w:t>
            </w:r>
          </w:p>
        </w:tc>
        <w:tc>
          <w:tcPr>
            <w:tcW w:w="8571" w:type="dxa"/>
          </w:tcPr>
          <w:p w14:paraId="549D535E" w14:textId="77777777" w:rsidR="00E57B2D" w:rsidRDefault="00E57B2D" w:rsidP="00E57B2D">
            <w:pPr>
              <w:pStyle w:val="ListParagraph"/>
              <w:numPr>
                <w:ilvl w:val="0"/>
                <w:numId w:val="10"/>
              </w:numPr>
              <w:tabs>
                <w:tab w:val="left" w:pos="57"/>
              </w:tabs>
              <w:kinsoku w:val="0"/>
              <w:overflowPunct w:val="0"/>
              <w:autoSpaceDE w:val="0"/>
              <w:autoSpaceDN w:val="0"/>
              <w:ind w:left="-84" w:firstLine="0"/>
              <w:jc w:val="both"/>
              <w:rPr>
                <w:rFonts w:ascii="Times New Roman" w:hAnsi="Times New Roman" w:cs="Times New Roman"/>
                <w:color w:val="000000"/>
                <w:sz w:val="14"/>
                <w:szCs w:val="18"/>
                <w:lang w:val="en-ID" w:eastAsia="en-ID"/>
              </w:rPr>
            </w:pPr>
            <w:r w:rsidRPr="00E57B2D">
              <w:rPr>
                <w:rFonts w:ascii="Times New Roman" w:hAnsi="Times New Roman" w:cs="Times New Roman"/>
                <w:sz w:val="14"/>
                <w:szCs w:val="18"/>
              </w:rPr>
              <w:t>The symbols *</w:t>
            </w:r>
            <w:r w:rsidRPr="00E57B2D">
              <w:rPr>
                <w:rFonts w:ascii="Times New Roman" w:hAnsi="Times New Roman" w:cs="Times New Roman"/>
                <w:color w:val="000000"/>
                <w:sz w:val="14"/>
                <w:szCs w:val="18"/>
                <w:lang w:val="en-ID" w:eastAsia="en-ID"/>
              </w:rPr>
              <w:t>, **, and *** denote statistical significance at 10 per cent, 5 per cent and 1 per cent respectively.</w:t>
            </w:r>
          </w:p>
          <w:p w14:paraId="329424C7" w14:textId="77777777" w:rsidR="00E57B2D" w:rsidRPr="00E57B2D" w:rsidRDefault="00E57B2D" w:rsidP="00E57B2D">
            <w:pPr>
              <w:pStyle w:val="ListParagraph"/>
              <w:numPr>
                <w:ilvl w:val="0"/>
                <w:numId w:val="10"/>
              </w:numPr>
              <w:tabs>
                <w:tab w:val="left" w:pos="57"/>
              </w:tabs>
              <w:kinsoku w:val="0"/>
              <w:overflowPunct w:val="0"/>
              <w:autoSpaceDE w:val="0"/>
              <w:autoSpaceDN w:val="0"/>
              <w:ind w:left="-84" w:firstLine="0"/>
              <w:jc w:val="both"/>
              <w:rPr>
                <w:rFonts w:ascii="Times New Roman" w:hAnsi="Times New Roman" w:cs="Times New Roman"/>
                <w:color w:val="000000"/>
                <w:sz w:val="14"/>
                <w:szCs w:val="18"/>
                <w:lang w:val="en-ID" w:eastAsia="en-ID"/>
              </w:rPr>
            </w:pPr>
            <w:r w:rsidRPr="00E57B2D">
              <w:rPr>
                <w:rFonts w:ascii="Times New Roman" w:hAnsi="Times New Roman" w:cs="Times New Roman"/>
                <w:sz w:val="14"/>
                <w:szCs w:val="18"/>
              </w:rPr>
              <w:t>IDR-USD Volatility is Indonesia Rupiah to US Dollar volatility.</w:t>
            </w:r>
          </w:p>
          <w:p w14:paraId="7853A1C8" w14:textId="77777777" w:rsidR="00E57B2D" w:rsidRPr="00E57B2D" w:rsidRDefault="00E57B2D" w:rsidP="00E57B2D">
            <w:pPr>
              <w:pStyle w:val="ListParagraph"/>
              <w:numPr>
                <w:ilvl w:val="0"/>
                <w:numId w:val="10"/>
              </w:numPr>
              <w:tabs>
                <w:tab w:val="left" w:pos="57"/>
              </w:tabs>
              <w:kinsoku w:val="0"/>
              <w:overflowPunct w:val="0"/>
              <w:autoSpaceDE w:val="0"/>
              <w:autoSpaceDN w:val="0"/>
              <w:ind w:left="-84" w:firstLine="0"/>
              <w:jc w:val="both"/>
              <w:rPr>
                <w:rFonts w:ascii="Times New Roman" w:hAnsi="Times New Roman" w:cs="Times New Roman"/>
                <w:color w:val="000000"/>
                <w:sz w:val="14"/>
                <w:szCs w:val="18"/>
                <w:lang w:val="en-ID" w:eastAsia="en-ID"/>
              </w:rPr>
            </w:pPr>
            <w:r w:rsidRPr="00E57B2D">
              <w:rPr>
                <w:rFonts w:ascii="Times New Roman" w:hAnsi="Times New Roman" w:cs="Times New Roman"/>
                <w:sz w:val="14"/>
                <w:szCs w:val="18"/>
              </w:rPr>
              <w:t>IDR-SGD Volatility is Indonesia Rupiah to Singapore Dollar volatility.</w:t>
            </w:r>
          </w:p>
          <w:p w14:paraId="3B727E67" w14:textId="77777777" w:rsidR="00E57B2D" w:rsidRPr="00E57B2D" w:rsidRDefault="00E57B2D" w:rsidP="00E57B2D">
            <w:pPr>
              <w:pStyle w:val="ListParagraph"/>
              <w:numPr>
                <w:ilvl w:val="0"/>
                <w:numId w:val="10"/>
              </w:numPr>
              <w:tabs>
                <w:tab w:val="left" w:pos="57"/>
              </w:tabs>
              <w:kinsoku w:val="0"/>
              <w:overflowPunct w:val="0"/>
              <w:autoSpaceDE w:val="0"/>
              <w:autoSpaceDN w:val="0"/>
              <w:ind w:left="-84" w:firstLine="0"/>
              <w:jc w:val="both"/>
              <w:rPr>
                <w:rFonts w:ascii="Times New Roman" w:hAnsi="Times New Roman" w:cs="Times New Roman"/>
                <w:color w:val="000000"/>
                <w:sz w:val="14"/>
                <w:szCs w:val="18"/>
                <w:lang w:val="en-ID" w:eastAsia="en-ID"/>
              </w:rPr>
            </w:pPr>
            <w:r w:rsidRPr="00E57B2D">
              <w:rPr>
                <w:rFonts w:ascii="Times New Roman" w:hAnsi="Times New Roman" w:cs="Times New Roman"/>
                <w:sz w:val="14"/>
                <w:szCs w:val="18"/>
              </w:rPr>
              <w:t>IDR-AUD Volatility is Indonesia Rupiah to Australia Dollar volatility.</w:t>
            </w:r>
          </w:p>
          <w:p w14:paraId="3267FBED" w14:textId="77777777" w:rsidR="00E57B2D" w:rsidRPr="00E57B2D" w:rsidRDefault="00E57B2D" w:rsidP="00E57B2D">
            <w:pPr>
              <w:pStyle w:val="ListParagraph"/>
              <w:numPr>
                <w:ilvl w:val="0"/>
                <w:numId w:val="10"/>
              </w:numPr>
              <w:tabs>
                <w:tab w:val="left" w:pos="57"/>
              </w:tabs>
              <w:kinsoku w:val="0"/>
              <w:overflowPunct w:val="0"/>
              <w:autoSpaceDE w:val="0"/>
              <w:autoSpaceDN w:val="0"/>
              <w:ind w:left="-84" w:firstLine="0"/>
              <w:jc w:val="both"/>
              <w:rPr>
                <w:rFonts w:ascii="Times New Roman" w:hAnsi="Times New Roman" w:cs="Times New Roman"/>
                <w:color w:val="000000"/>
                <w:sz w:val="14"/>
                <w:szCs w:val="18"/>
                <w:lang w:val="en-ID" w:eastAsia="en-ID"/>
              </w:rPr>
            </w:pPr>
            <w:r w:rsidRPr="00E57B2D">
              <w:rPr>
                <w:rFonts w:ascii="Times New Roman" w:hAnsi="Times New Roman" w:cs="Times New Roman"/>
                <w:sz w:val="14"/>
                <w:szCs w:val="18"/>
              </w:rPr>
              <w:t>IDR-GBP Volatility is Indonesia Rupiah to US British Pound Sterling volatility.</w:t>
            </w:r>
          </w:p>
          <w:p w14:paraId="7C96C7D0" w14:textId="2D652BCC" w:rsidR="00E57B2D" w:rsidRPr="00E57B2D" w:rsidRDefault="00E57B2D" w:rsidP="00E57B2D">
            <w:pPr>
              <w:pStyle w:val="ListParagraph"/>
              <w:numPr>
                <w:ilvl w:val="0"/>
                <w:numId w:val="10"/>
              </w:numPr>
              <w:tabs>
                <w:tab w:val="left" w:pos="57"/>
              </w:tabs>
              <w:kinsoku w:val="0"/>
              <w:overflowPunct w:val="0"/>
              <w:autoSpaceDE w:val="0"/>
              <w:autoSpaceDN w:val="0"/>
              <w:ind w:left="-84" w:firstLine="0"/>
              <w:jc w:val="both"/>
              <w:rPr>
                <w:rFonts w:ascii="Times New Roman" w:hAnsi="Times New Roman" w:cs="Times New Roman"/>
                <w:color w:val="000000"/>
                <w:sz w:val="14"/>
                <w:szCs w:val="18"/>
                <w:lang w:val="en-ID" w:eastAsia="en-ID"/>
              </w:rPr>
            </w:pPr>
            <w:r w:rsidRPr="00E57B2D">
              <w:rPr>
                <w:rFonts w:ascii="Times New Roman" w:hAnsi="Times New Roman" w:cs="Times New Roman"/>
                <w:sz w:val="14"/>
                <w:szCs w:val="18"/>
              </w:rPr>
              <w:t>IDR-EURO Volatility is Indonesia Rupiah to EURO volatility.</w:t>
            </w:r>
          </w:p>
        </w:tc>
      </w:tr>
    </w:tbl>
    <w:p w14:paraId="694E62CB" w14:textId="77777777" w:rsidR="00E57B2D" w:rsidRDefault="00E57B2D" w:rsidP="007C6DEB">
      <w:pPr>
        <w:pStyle w:val="BodyText2"/>
        <w:spacing w:after="0" w:line="240" w:lineRule="auto"/>
        <w:ind w:firstLine="360"/>
        <w:jc w:val="both"/>
        <w:rPr>
          <w:sz w:val="20"/>
          <w:szCs w:val="20"/>
          <w:shd w:val="clear" w:color="auto" w:fill="FFFFFF"/>
        </w:rPr>
      </w:pPr>
    </w:p>
    <w:p w14:paraId="78E3AA45" w14:textId="5DD409E1" w:rsidR="000854E4" w:rsidRPr="004B7B66" w:rsidRDefault="000854E4" w:rsidP="007C6DEB">
      <w:pPr>
        <w:pStyle w:val="BodyText2"/>
        <w:spacing w:after="0" w:line="240" w:lineRule="auto"/>
        <w:ind w:firstLine="360"/>
        <w:jc w:val="both"/>
        <w:rPr>
          <w:sz w:val="20"/>
          <w:szCs w:val="20"/>
        </w:rPr>
      </w:pPr>
      <w:r w:rsidRPr="004B7B66">
        <w:rPr>
          <w:sz w:val="20"/>
          <w:szCs w:val="20"/>
          <w:shd w:val="clear" w:color="auto" w:fill="FFFFFF"/>
        </w:rPr>
        <w:t xml:space="preserve">The long-run </w:t>
      </w:r>
      <w:r w:rsidR="009E6903">
        <w:rPr>
          <w:sz w:val="20"/>
          <w:szCs w:val="20"/>
          <w:shd w:val="clear" w:color="auto" w:fill="FFFFFF"/>
        </w:rPr>
        <w:t>effect</w:t>
      </w:r>
      <w:r w:rsidRPr="004B7B66">
        <w:rPr>
          <w:sz w:val="20"/>
          <w:szCs w:val="20"/>
          <w:shd w:val="clear" w:color="auto" w:fill="FFFFFF"/>
        </w:rPr>
        <w:t xml:space="preserve"> of </w:t>
      </w:r>
      <w:r w:rsidR="00E57712">
        <w:rPr>
          <w:sz w:val="20"/>
          <w:szCs w:val="20"/>
          <w:shd w:val="clear" w:color="auto" w:fill="FFFFFF"/>
        </w:rPr>
        <w:t xml:space="preserve">the </w:t>
      </w:r>
      <w:r w:rsidRPr="004B7B66">
        <w:rPr>
          <w:sz w:val="20"/>
          <w:szCs w:val="20"/>
          <w:shd w:val="clear" w:color="auto" w:fill="FFFFFF"/>
        </w:rPr>
        <w:t>central bank policy rate, output gap, money per GDP, and credit gap on exchange rate volatility was first analysed. The central bank policy rate was found to have a positive influence on exchange rate volatility.</w:t>
      </w:r>
      <w:r w:rsidRPr="004B7B66" w:rsidDel="00582364">
        <w:rPr>
          <w:sz w:val="20"/>
          <w:szCs w:val="20"/>
          <w:shd w:val="clear" w:color="auto" w:fill="FFFFFF"/>
        </w:rPr>
        <w:t xml:space="preserve"> </w:t>
      </w:r>
      <w:r w:rsidRPr="004B7B66">
        <w:rPr>
          <w:sz w:val="20"/>
          <w:szCs w:val="20"/>
          <w:shd w:val="clear" w:color="auto" w:fill="FFFFFF"/>
        </w:rPr>
        <w:t xml:space="preserve">This means an increase in the rate can cause a rise in domestic currency volatility and vice versa. The result specifically showed a 1% increase (decrease) in the central bank policy rate produced approximately 0.0785 to 0.6350 standard deviation increase (decrease) to the mean ratio of the domestic currency volatility. Furthermore, the lowest is for IDR-SGD volatility (0.0785) and the highest is for IDR-USD volatility (0.6350). The result of this study supports the exchange rate overshooting hypothesis developed by </w:t>
      </w:r>
      <w:r w:rsidR="00025E98" w:rsidRPr="00025E98">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AuthorYear="1"&gt;&lt;Author&gt;Dornbusch&lt;/Author&gt;&lt;Year&gt;1976&lt;/Year&gt;&lt;RecNum&gt;12&lt;/RecNum&gt;&lt;DisplayText&gt;Dornbusch [37]&lt;/DisplayText&gt;&lt;record&gt;&lt;rec-number&gt;12&lt;/rec-number&gt;&lt;foreign-keys&gt;&lt;key app="EN" db-id="w02dva9072e097ez0eov2pwr9fvdzpzav5te"&gt;12&lt;/key&gt;&lt;/foreign-keys&gt;&lt;ref-type name="Journal Article"&gt;17&lt;/ref-type&gt;&lt;contributors&gt;&lt;authors&gt;&lt;author&gt;Dornbusch, Rudiger&lt;/author&gt;&lt;/authors&gt;&lt;/contributors&gt;&lt;titles&gt;&lt;title&gt;Expectations and exchange rate dynamics&lt;/title&gt;&lt;secondary-title&gt;Journal of Political Economy&lt;/secondary-title&gt;&lt;/titles&gt;&lt;pages&gt;1161-1176&lt;/pages&gt;&lt;volume&gt;84&lt;/volume&gt;&lt;number&gt;6&lt;/number&gt;&lt;dates&gt;&lt;year&gt;1976&lt;/year&gt;&lt;/dates&gt;&lt;isbn&gt;0022-3808&lt;/isbn&gt;&lt;urls&gt;&lt;/urls&gt;&lt;/record&gt;&lt;/Cite&gt;&lt;/EndNote&gt;</w:instrText>
      </w:r>
      <w:r w:rsidR="00025E98" w:rsidRPr="00025E98">
        <w:rPr>
          <w:color w:val="0000CC"/>
          <w:sz w:val="20"/>
          <w:szCs w:val="20"/>
          <w:shd w:val="clear" w:color="auto" w:fill="FFFFFF"/>
        </w:rPr>
        <w:fldChar w:fldCharType="separate"/>
      </w:r>
      <w:hyperlink w:anchor="_ENREF_37" w:tooltip="Dornbusch, 1976 #12" w:history="1">
        <w:r w:rsidR="00AF2A4C">
          <w:rPr>
            <w:noProof/>
            <w:color w:val="0000CC"/>
            <w:sz w:val="20"/>
            <w:szCs w:val="20"/>
            <w:shd w:val="clear" w:color="auto" w:fill="FFFFFF"/>
          </w:rPr>
          <w:t>Dornbusch [37</w:t>
        </w:r>
      </w:hyperlink>
      <w:r w:rsidR="00025E98">
        <w:rPr>
          <w:noProof/>
          <w:color w:val="0000CC"/>
          <w:sz w:val="20"/>
          <w:szCs w:val="20"/>
          <w:shd w:val="clear" w:color="auto" w:fill="FFFFFF"/>
        </w:rPr>
        <w:t>]</w:t>
      </w:r>
      <w:r w:rsidR="00025E98" w:rsidRPr="00025E98">
        <w:rPr>
          <w:color w:val="0000CC"/>
          <w:sz w:val="20"/>
          <w:szCs w:val="20"/>
          <w:shd w:val="clear" w:color="auto" w:fill="FFFFFF"/>
        </w:rPr>
        <w:fldChar w:fldCharType="end"/>
      </w:r>
      <w:r w:rsidRPr="004B7B66">
        <w:rPr>
          <w:sz w:val="20"/>
          <w:szCs w:val="20"/>
          <w:shd w:val="clear" w:color="auto" w:fill="FFFFFF"/>
        </w:rPr>
        <w:t xml:space="preserve">. This is also in accordance with </w:t>
      </w:r>
      <w:r w:rsidR="00025E98" w:rsidRPr="00025E98">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AuthorYear="1"&gt;&lt;Author&gt;Adeoye&lt;/Author&gt;&lt;Year&gt;2014&lt;/Year&gt;&lt;RecNum&gt;2&lt;/RecNum&gt;&lt;DisplayText&gt;Adeoye and Saibu [5]&lt;/DisplayText&gt;&lt;record&gt;&lt;rec-number&gt;2&lt;/rec-number&gt;&lt;foreign-keys&gt;&lt;key app="EN" db-id="w02dva9072e097ez0eov2pwr9fvdzpzav5te"&gt;2&lt;/key&gt;&lt;/foreign-keys&gt;&lt;ref-type name="Journal Article"&gt;17&lt;/ref-type&gt;&lt;contributors&gt;&lt;authors&gt;&lt;author&gt;Adeoye, B. W.&lt;/author&gt;&lt;author&gt;Saibu, O. M.&lt;/author&gt;&lt;/authors&gt;&lt;/contributors&gt;&lt;titles&gt;&lt;title&gt;Monetary policy shocks and exchange rate volatility in Nigeria&lt;/title&gt;&lt;secondary-title&gt;Asian Economic and Financial Review&lt;/secondary-title&gt;&lt;/titles&gt;&lt;pages&gt;544-562&lt;/pages&gt;&lt;volume&gt;4&lt;/volume&gt;&lt;number&gt;4&lt;/number&gt;&lt;dates&gt;&lt;year&gt;2014&lt;/year&gt;&lt;/dates&gt;&lt;urls&gt;&lt;/urls&gt;&lt;/record&gt;&lt;/Cite&gt;&lt;/EndNote&gt;</w:instrText>
      </w:r>
      <w:r w:rsidR="00025E98" w:rsidRPr="00025E98">
        <w:rPr>
          <w:color w:val="0000CC"/>
          <w:sz w:val="20"/>
          <w:szCs w:val="20"/>
          <w:shd w:val="clear" w:color="auto" w:fill="FFFFFF"/>
        </w:rPr>
        <w:fldChar w:fldCharType="separate"/>
      </w:r>
      <w:hyperlink w:anchor="_ENREF_5" w:tooltip="Adeoye, 2014 #2" w:history="1">
        <w:r w:rsidR="00AF2A4C">
          <w:rPr>
            <w:noProof/>
            <w:color w:val="0000CC"/>
            <w:sz w:val="20"/>
            <w:szCs w:val="20"/>
            <w:shd w:val="clear" w:color="auto" w:fill="FFFFFF"/>
          </w:rPr>
          <w:t>Adeoye and Saibu [5</w:t>
        </w:r>
      </w:hyperlink>
      <w:r w:rsidR="00025E98">
        <w:rPr>
          <w:noProof/>
          <w:color w:val="0000CC"/>
          <w:sz w:val="20"/>
          <w:szCs w:val="20"/>
          <w:shd w:val="clear" w:color="auto" w:fill="FFFFFF"/>
        </w:rPr>
        <w:t>]</w:t>
      </w:r>
      <w:r w:rsidR="00025E98" w:rsidRPr="00025E98">
        <w:rPr>
          <w:color w:val="0000CC"/>
          <w:sz w:val="20"/>
          <w:szCs w:val="20"/>
          <w:shd w:val="clear" w:color="auto" w:fill="FFFFFF"/>
        </w:rPr>
        <w:fldChar w:fldCharType="end"/>
      </w:r>
      <w:r w:rsidR="00025E98">
        <w:rPr>
          <w:sz w:val="20"/>
          <w:szCs w:val="20"/>
          <w:shd w:val="clear" w:color="auto" w:fill="FFFFFF"/>
        </w:rPr>
        <w:t>;</w:t>
      </w:r>
      <w:r w:rsidRPr="004B7B66">
        <w:rPr>
          <w:sz w:val="20"/>
          <w:szCs w:val="20"/>
          <w:shd w:val="clear" w:color="auto" w:fill="FFFFFF"/>
        </w:rPr>
        <w:t xml:space="preserve"> </w:t>
      </w:r>
      <w:r w:rsidR="00434935" w:rsidRPr="00434935">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AuthorYear="1"&gt;&lt;Author&gt;Hassan&lt;/Author&gt;&lt;Year&gt;2017&lt;/Year&gt;&lt;RecNum&gt;18&lt;/RecNum&gt;&lt;DisplayText&gt;Hassan and Dantama [30]&lt;/DisplayText&gt;&lt;record&gt;&lt;rec-number&gt;18&lt;/rec-number&gt;&lt;foreign-keys&gt;&lt;key app="EN" db-id="w02dva9072e097ez0eov2pwr9fvdzpzav5te"&gt;18&lt;/key&gt;&lt;/foreign-keys&gt;&lt;ref-type name="Journal Article"&gt;17&lt;/ref-type&gt;&lt;contributors&gt;&lt;authors&gt;&lt;author&gt;Hassan, Adamu&lt;/author&gt;&lt;author&gt;Dantama, Yusuf Umar&lt;/author&gt;&lt;/authors&gt;&lt;/contributors&gt;&lt;titles&gt;&lt;title&gt;Determinants of exchange rate volatility: New estimates from Nigeria&lt;/title&gt;&lt;secondary-title&gt;Eastern Journal of Economics and Finance&lt;/secondary-title&gt;&lt;/titles&gt;&lt;pages&gt;1-12&lt;/pages&gt;&lt;volume&gt;3&lt;/volume&gt;&lt;number&gt;1&lt;/number&gt;&lt;dates&gt;&lt;year&gt;2017&lt;/year&gt;&lt;/dates&gt;&lt;urls&gt;&lt;/urls&gt;&lt;electronic-resource-num&gt;https://doi.org/10.20448/809.3.1.1.12&lt;/electronic-resource-num&gt;&lt;/record&gt;&lt;/Cite&gt;&lt;/EndNote&gt;</w:instrText>
      </w:r>
      <w:r w:rsidR="00434935" w:rsidRPr="00434935">
        <w:rPr>
          <w:color w:val="0000CC"/>
          <w:sz w:val="20"/>
          <w:szCs w:val="20"/>
          <w:shd w:val="clear" w:color="auto" w:fill="FFFFFF"/>
        </w:rPr>
        <w:fldChar w:fldCharType="separate"/>
      </w:r>
      <w:hyperlink w:anchor="_ENREF_30" w:tooltip="Hassan, 2017 #18" w:history="1">
        <w:r w:rsidR="00AF2A4C">
          <w:rPr>
            <w:noProof/>
            <w:color w:val="0000CC"/>
            <w:sz w:val="20"/>
            <w:szCs w:val="20"/>
            <w:shd w:val="clear" w:color="auto" w:fill="FFFFFF"/>
          </w:rPr>
          <w:t>Hassan and Dantama [30</w:t>
        </w:r>
      </w:hyperlink>
      <w:r w:rsidR="00434935">
        <w:rPr>
          <w:noProof/>
          <w:color w:val="0000CC"/>
          <w:sz w:val="20"/>
          <w:szCs w:val="20"/>
          <w:shd w:val="clear" w:color="auto" w:fill="FFFFFF"/>
        </w:rPr>
        <w:t>]</w:t>
      </w:r>
      <w:r w:rsidR="00434935" w:rsidRPr="00434935">
        <w:rPr>
          <w:color w:val="0000CC"/>
          <w:sz w:val="20"/>
          <w:szCs w:val="20"/>
          <w:shd w:val="clear" w:color="auto" w:fill="FFFFFF"/>
        </w:rPr>
        <w:fldChar w:fldCharType="end"/>
      </w:r>
      <w:r w:rsidRPr="004B7B66">
        <w:rPr>
          <w:sz w:val="20"/>
          <w:szCs w:val="20"/>
          <w:shd w:val="clear" w:color="auto" w:fill="FFFFFF"/>
        </w:rPr>
        <w:t xml:space="preserve"> and </w:t>
      </w:r>
      <w:r w:rsidR="00434935" w:rsidRPr="00434935">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AuthorYear="1"&gt;&lt;Author&gt;Kuncoro&lt;/Author&gt;&lt;Year&gt;2020&lt;/Year&gt;&lt;RecNum&gt;24&lt;/RecNum&gt;&lt;DisplayText&gt;Kuncoro [25]&lt;/DisplayText&gt;&lt;record&gt;&lt;rec-number&gt;24&lt;/rec-number&gt;&lt;foreign-keys&gt;&lt;key app="EN" db-id="w02dva9072e097ez0eov2pwr9fvdzpzav5te"&gt;24&lt;/key&gt;&lt;/foreign-keys&gt;&lt;ref-type name="Journal Article"&gt;17&lt;/ref-type&gt;&lt;contributors&gt;&lt;authors&gt;&lt;author&gt;Kuncoro, Haryo&lt;/author&gt;&lt;/authors&gt;&lt;/contributors&gt;&lt;titles&gt;&lt;title&gt;Interest rate policy and exchange rates volatility lessons from Indonesia&lt;/title&gt;&lt;secondary-title&gt;Journal of Central Banking Theory and Practice&lt;/secondary-title&gt;&lt;/titles&gt;&lt;pages&gt;19-42&lt;/pages&gt;&lt;volume&gt;9&lt;/volume&gt;&lt;number&gt;2&lt;/number&gt;&lt;dates&gt;&lt;year&gt;2020&lt;/year&gt;&lt;/dates&gt;&lt;urls&gt;&lt;/urls&gt;&lt;electronic-resource-num&gt;https://doi.org/10.2478/jcbtp-2020-0012&lt;/electronic-resource-num&gt;&lt;/record&gt;&lt;/Cite&gt;&lt;/EndNote&gt;</w:instrText>
      </w:r>
      <w:r w:rsidR="00434935" w:rsidRPr="00434935">
        <w:rPr>
          <w:color w:val="0000CC"/>
          <w:sz w:val="20"/>
          <w:szCs w:val="20"/>
          <w:shd w:val="clear" w:color="auto" w:fill="FFFFFF"/>
        </w:rPr>
        <w:fldChar w:fldCharType="separate"/>
      </w:r>
      <w:hyperlink w:anchor="_ENREF_25" w:tooltip="Kuncoro, 2020 #24" w:history="1">
        <w:r w:rsidR="00AF2A4C">
          <w:rPr>
            <w:noProof/>
            <w:color w:val="0000CC"/>
            <w:sz w:val="20"/>
            <w:szCs w:val="20"/>
            <w:shd w:val="clear" w:color="auto" w:fill="FFFFFF"/>
          </w:rPr>
          <w:t>Kuncoro [25</w:t>
        </w:r>
      </w:hyperlink>
      <w:r w:rsidR="00434935">
        <w:rPr>
          <w:noProof/>
          <w:color w:val="0000CC"/>
          <w:sz w:val="20"/>
          <w:szCs w:val="20"/>
          <w:shd w:val="clear" w:color="auto" w:fill="FFFFFF"/>
        </w:rPr>
        <w:t>]</w:t>
      </w:r>
      <w:r w:rsidR="00434935" w:rsidRPr="00434935">
        <w:rPr>
          <w:color w:val="0000CC"/>
          <w:sz w:val="20"/>
          <w:szCs w:val="20"/>
          <w:shd w:val="clear" w:color="auto" w:fill="FFFFFF"/>
        </w:rPr>
        <w:fldChar w:fldCharType="end"/>
      </w:r>
      <w:r w:rsidRPr="004B7B66">
        <w:rPr>
          <w:sz w:val="20"/>
          <w:szCs w:val="20"/>
          <w:shd w:val="clear" w:color="auto" w:fill="FFFFFF"/>
        </w:rPr>
        <w:t>. The positive influence was associated with higher commercial banks</w:t>
      </w:r>
      <w:r w:rsidR="00887493">
        <w:rPr>
          <w:sz w:val="20"/>
          <w:szCs w:val="20"/>
          <w:shd w:val="clear" w:color="auto" w:fill="FFFFFF"/>
        </w:rPr>
        <w:t>'</w:t>
      </w:r>
      <w:r w:rsidRPr="004B7B66">
        <w:rPr>
          <w:sz w:val="20"/>
          <w:szCs w:val="20"/>
          <w:shd w:val="clear" w:color="auto" w:fill="FFFFFF"/>
        </w:rPr>
        <w:t xml:space="preserve"> interest rates usually produced from an increase in </w:t>
      </w:r>
      <w:bookmarkStart w:id="13" w:name="_Hlk55237673"/>
      <w:r w:rsidR="00125969">
        <w:rPr>
          <w:sz w:val="20"/>
          <w:szCs w:val="20"/>
          <w:shd w:val="clear" w:color="auto" w:fill="FFFFFF"/>
        </w:rPr>
        <w:t xml:space="preserve">the </w:t>
      </w:r>
      <w:r w:rsidRPr="004B7B66">
        <w:rPr>
          <w:sz w:val="20"/>
          <w:szCs w:val="20"/>
          <w:shd w:val="clear" w:color="auto" w:fill="FFFFFF"/>
        </w:rPr>
        <w:t xml:space="preserve">central </w:t>
      </w:r>
      <w:bookmarkEnd w:id="13"/>
      <w:r w:rsidRPr="004B7B66">
        <w:rPr>
          <w:sz w:val="20"/>
          <w:szCs w:val="20"/>
          <w:shd w:val="clear" w:color="auto" w:fill="FFFFFF"/>
        </w:rPr>
        <w:t>bank policy rate. This consequently boosts the capital inflow to the domestic market due to its ability to attract investors, thereby enhancing the exchange rate volatility.</w:t>
      </w:r>
      <w:r w:rsidR="00125969">
        <w:rPr>
          <w:sz w:val="20"/>
          <w:szCs w:val="20"/>
          <w:shd w:val="clear" w:color="auto" w:fill="FFFFFF"/>
        </w:rPr>
        <w:t xml:space="preserve"> </w:t>
      </w:r>
      <w:r w:rsidRPr="004B7B66">
        <w:rPr>
          <w:sz w:val="20"/>
          <w:szCs w:val="20"/>
          <w:shd w:val="clear" w:color="auto" w:fill="FFFFFF"/>
        </w:rPr>
        <w:t xml:space="preserve">However, this result contradicts </w:t>
      </w:r>
      <w:r w:rsidR="00AB00D7" w:rsidRPr="00AB00D7">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AuthorYear="1"&gt;&lt;Author&gt;Mirchandani&lt;/Author&gt;&lt;Year&gt;2013&lt;/Year&gt;&lt;RecNum&gt;27&lt;/RecNum&gt;&lt;DisplayText&gt;Mirchandani [29]&lt;/DisplayText&gt;&lt;record&gt;&lt;rec-number&gt;27&lt;/rec-number&gt;&lt;foreign-keys&gt;&lt;key app="EN" db-id="w02dva9072e097ez0eov2pwr9fvdzpzav5te"&gt;27&lt;/key&gt;&lt;/foreign-keys&gt;&lt;ref-type name="Journal Article"&gt;17&lt;/ref-type&gt;&lt;contributors&gt;&lt;authors&gt;&lt;author&gt;Mirchandani, Anita&lt;/author&gt;&lt;/authors&gt;&lt;/contributors&gt;&lt;titles&gt;&lt;title&gt;Analysis of macroeconomic determinants of exchange rate volatility in India&lt;/title&gt;&lt;secondary-title&gt;International Journal of Economics and Financial Issues&lt;/secondary-title&gt;&lt;/titles&gt;&lt;pages&gt;172-179&lt;/pages&gt;&lt;volume&gt;3&lt;/volume&gt;&lt;number&gt;1&lt;/number&gt;&lt;dates&gt;&lt;year&gt;2013&lt;/year&gt;&lt;/dates&gt;&lt;urls&gt;&lt;/urls&gt;&lt;/record&gt;&lt;/Cite&gt;&lt;/EndNote&gt;</w:instrText>
      </w:r>
      <w:r w:rsidR="00AB00D7" w:rsidRPr="00AB00D7">
        <w:rPr>
          <w:color w:val="0000CC"/>
          <w:sz w:val="20"/>
          <w:szCs w:val="20"/>
          <w:shd w:val="clear" w:color="auto" w:fill="FFFFFF"/>
        </w:rPr>
        <w:fldChar w:fldCharType="separate"/>
      </w:r>
      <w:hyperlink w:anchor="_ENREF_29" w:tooltip="Mirchandani, 2013 #27" w:history="1">
        <w:r w:rsidR="00AF2A4C">
          <w:rPr>
            <w:noProof/>
            <w:color w:val="0000CC"/>
            <w:sz w:val="20"/>
            <w:szCs w:val="20"/>
            <w:shd w:val="clear" w:color="auto" w:fill="FFFFFF"/>
          </w:rPr>
          <w:t>Mirchandani [29</w:t>
        </w:r>
      </w:hyperlink>
      <w:r w:rsidR="00AB00D7">
        <w:rPr>
          <w:noProof/>
          <w:color w:val="0000CC"/>
          <w:sz w:val="20"/>
          <w:szCs w:val="20"/>
          <w:shd w:val="clear" w:color="auto" w:fill="FFFFFF"/>
        </w:rPr>
        <w:t>]</w:t>
      </w:r>
      <w:r w:rsidR="00AB00D7" w:rsidRPr="00AB00D7">
        <w:rPr>
          <w:color w:val="0000CC"/>
          <w:sz w:val="20"/>
          <w:szCs w:val="20"/>
          <w:shd w:val="clear" w:color="auto" w:fill="FFFFFF"/>
        </w:rPr>
        <w:fldChar w:fldCharType="end"/>
      </w:r>
      <w:r w:rsidR="00434935">
        <w:rPr>
          <w:sz w:val="20"/>
          <w:szCs w:val="20"/>
          <w:shd w:val="clear" w:color="auto" w:fill="FFFFFF"/>
        </w:rPr>
        <w:t>;</w:t>
      </w:r>
      <w:r w:rsidRPr="004B7B66">
        <w:rPr>
          <w:sz w:val="20"/>
          <w:szCs w:val="20"/>
          <w:shd w:val="clear" w:color="auto" w:fill="FFFFFF"/>
        </w:rPr>
        <w:t xml:space="preserve"> </w:t>
      </w:r>
      <w:r w:rsidR="00AB00D7" w:rsidRPr="00AB00D7">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AuthorYear="1"&gt;&lt;Author&gt;Saha&lt;/Author&gt;&lt;Year&gt;2014&lt;/Year&gt;&lt;RecNum&gt;32&lt;/RecNum&gt;&lt;DisplayText&gt;Saha and Biswas [28]&lt;/DisplayText&gt;&lt;record&gt;&lt;rec-number&gt;32&lt;/rec-number&gt;&lt;foreign-keys&gt;&lt;key app="EN" db-id="w02dva9072e097ez0eov2pwr9fvdzpzav5te"&gt;32&lt;/key&gt;&lt;/foreign-keys&gt;&lt;ref-type name="Journal Article"&gt;17&lt;/ref-type&gt;&lt;contributors&gt;&lt;authors&gt;&lt;author&gt;Saha, A. K.&lt;/author&gt;&lt;author&gt;Biswas, S.&lt;/author&gt;&lt;/authors&gt;&lt;/contributors&gt;&lt;titles&gt;&lt;title&gt;Macroeconomic fundamentals and exchange rate volatility during the floating exchange rate regime in India&lt;/title&gt;&lt;secondary-title&gt;International Journal of Economics &amp;amp; Management&lt;/secondary-title&gt;&lt;/titles&gt;&lt;pages&gt;10-39&lt;/pages&gt;&lt;volume&gt;8&lt;/volume&gt;&lt;number&gt;1&lt;/number&gt;&lt;dates&gt;&lt;year&gt;2014&lt;/year&gt;&lt;/dates&gt;&lt;isbn&gt;1823-836X&lt;/isbn&gt;&lt;urls&gt;&lt;/urls&gt;&lt;/record&gt;&lt;/Cite&gt;&lt;/EndNote&gt;</w:instrText>
      </w:r>
      <w:r w:rsidR="00AB00D7" w:rsidRPr="00AB00D7">
        <w:rPr>
          <w:color w:val="0000CC"/>
          <w:sz w:val="20"/>
          <w:szCs w:val="20"/>
          <w:shd w:val="clear" w:color="auto" w:fill="FFFFFF"/>
        </w:rPr>
        <w:fldChar w:fldCharType="separate"/>
      </w:r>
      <w:hyperlink w:anchor="_ENREF_28" w:tooltip="Saha, 2014 #32" w:history="1">
        <w:r w:rsidR="00AF2A4C">
          <w:rPr>
            <w:noProof/>
            <w:color w:val="0000CC"/>
            <w:sz w:val="20"/>
            <w:szCs w:val="20"/>
            <w:shd w:val="clear" w:color="auto" w:fill="FFFFFF"/>
          </w:rPr>
          <w:t>Saha and Biswas [28</w:t>
        </w:r>
      </w:hyperlink>
      <w:r w:rsidR="00AB00D7">
        <w:rPr>
          <w:noProof/>
          <w:color w:val="0000CC"/>
          <w:sz w:val="20"/>
          <w:szCs w:val="20"/>
          <w:shd w:val="clear" w:color="auto" w:fill="FFFFFF"/>
        </w:rPr>
        <w:t>]</w:t>
      </w:r>
      <w:r w:rsidR="00AB00D7" w:rsidRPr="00AB00D7">
        <w:rPr>
          <w:color w:val="0000CC"/>
          <w:sz w:val="20"/>
          <w:szCs w:val="20"/>
          <w:shd w:val="clear" w:color="auto" w:fill="FFFFFF"/>
        </w:rPr>
        <w:fldChar w:fldCharType="end"/>
      </w:r>
      <w:r w:rsidR="00434935">
        <w:rPr>
          <w:sz w:val="20"/>
          <w:szCs w:val="20"/>
          <w:shd w:val="clear" w:color="auto" w:fill="FFFFFF"/>
        </w:rPr>
        <w:t>;</w:t>
      </w:r>
      <w:r w:rsidRPr="004B7B66">
        <w:rPr>
          <w:sz w:val="20"/>
          <w:szCs w:val="20"/>
          <w:shd w:val="clear" w:color="auto" w:fill="FFFFFF"/>
        </w:rPr>
        <w:t xml:space="preserve"> </w:t>
      </w:r>
      <w:r w:rsidR="00F4174C" w:rsidRPr="00F4174C">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AuthorYear="1"&gt;&lt;Author&gt;Ali&lt;/Author&gt;&lt;Year&gt;2015&lt;/Year&gt;&lt;RecNum&gt;4&lt;/RecNum&gt;&lt;DisplayText&gt;Ali, et al. [27]&lt;/DisplayText&gt;&lt;record&gt;&lt;rec-number&gt;4&lt;/rec-number&gt;&lt;foreign-keys&gt;&lt;key app="EN" db-id="w02dva9072e097ez0eov2pwr9fvdzpzav5te"&gt;4&lt;/key&gt;&lt;/foreign-keys&gt;&lt;ref-type name="Journal Article"&gt;17&lt;/ref-type&gt;&lt;contributors&gt;&lt;authors&gt;&lt;author&gt;Ali, Tariq Mahmood&lt;/author&gt;&lt;author&gt;Mahmood, Muhammad Tariq&lt;/author&gt;&lt;author&gt;Bashir, Tariq&lt;/author&gt;&lt;/authors&gt;&lt;/contributors&gt;&lt;titles&gt;&lt;title&gt;Impact of interest rate, inflation and money supply on exchange rate volatility in Pakistan&lt;/title&gt;&lt;secondary-title&gt;World Applied Sciences Journal&lt;/secondary-title&gt;&lt;/titles&gt;&lt;pages&gt;620-630&lt;/pages&gt;&lt;volume&gt;33&lt;/volume&gt;&lt;number&gt;4&lt;/number&gt;&lt;dates&gt;&lt;year&gt;2015&lt;/year&gt;&lt;/dates&gt;&lt;isbn&gt;1818-4952&lt;/isbn&gt;&lt;urls&gt;&lt;/urls&gt;&lt;/record&gt;&lt;/Cite&gt;&lt;/EndNote&gt;</w:instrText>
      </w:r>
      <w:r w:rsidR="00F4174C" w:rsidRPr="00F4174C">
        <w:rPr>
          <w:color w:val="0000CC"/>
          <w:sz w:val="20"/>
          <w:szCs w:val="20"/>
          <w:shd w:val="clear" w:color="auto" w:fill="FFFFFF"/>
        </w:rPr>
        <w:fldChar w:fldCharType="separate"/>
      </w:r>
      <w:hyperlink w:anchor="_ENREF_27" w:tooltip="Ali, 2015 #4" w:history="1">
        <w:r w:rsidR="00AF2A4C">
          <w:rPr>
            <w:noProof/>
            <w:color w:val="0000CC"/>
            <w:sz w:val="20"/>
            <w:szCs w:val="20"/>
            <w:shd w:val="clear" w:color="auto" w:fill="FFFFFF"/>
          </w:rPr>
          <w:t>Ali et al. [27</w:t>
        </w:r>
      </w:hyperlink>
      <w:r w:rsidR="00F4174C">
        <w:rPr>
          <w:noProof/>
          <w:color w:val="0000CC"/>
          <w:sz w:val="20"/>
          <w:szCs w:val="20"/>
          <w:shd w:val="clear" w:color="auto" w:fill="FFFFFF"/>
        </w:rPr>
        <w:t>]</w:t>
      </w:r>
      <w:r w:rsidR="00F4174C" w:rsidRPr="00F4174C">
        <w:rPr>
          <w:color w:val="0000CC"/>
          <w:sz w:val="20"/>
          <w:szCs w:val="20"/>
          <w:shd w:val="clear" w:color="auto" w:fill="FFFFFF"/>
        </w:rPr>
        <w:fldChar w:fldCharType="end"/>
      </w:r>
      <w:r w:rsidR="00434935">
        <w:rPr>
          <w:sz w:val="20"/>
          <w:szCs w:val="20"/>
          <w:shd w:val="clear" w:color="auto" w:fill="FFFFFF"/>
        </w:rPr>
        <w:t>;</w:t>
      </w:r>
      <w:r w:rsidRPr="004B7B66">
        <w:rPr>
          <w:sz w:val="20"/>
          <w:szCs w:val="20"/>
          <w:shd w:val="clear" w:color="auto" w:fill="FFFFFF"/>
        </w:rPr>
        <w:t xml:space="preserve"> </w:t>
      </w:r>
      <w:r w:rsidR="00F4174C" w:rsidRPr="00F4174C">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AuthorYear="1"&gt;&lt;Author&gt;Khin&lt;/Author&gt;&lt;Year&gt;2017&lt;/Year&gt;&lt;RecNum&gt;22&lt;/RecNum&gt;&lt;DisplayText&gt;Khin, et al. [26]&lt;/DisplayText&gt;&lt;record&gt;&lt;rec-number&gt;22&lt;/rec-number&gt;&lt;foreign-keys&gt;&lt;key app="EN" db-id="w02dva9072e097ez0eov2pwr9fvdzpzav5te"&gt;22&lt;/key&gt;&lt;/foreign-keys&gt;&lt;ref-type name="Journal Article"&gt;17&lt;/ref-type&gt;&lt;contributors&gt;&lt;authors&gt;&lt;author&gt;Khin, Aye Aye&lt;/author&gt;&lt;author&gt;Yee, Chiow Yet&lt;/author&gt;&lt;author&gt;Seng, Ler Su&lt;/author&gt;&lt;author&gt;Wan, Chan Mei&lt;/author&gt;&lt;author&gt;Xian, Goh Qi&lt;/author&gt;&lt;/authors&gt;&lt;/contributors&gt;&lt;titles&gt;&lt;title&gt;Exchange rate volatility on macroeconomıc determinants in Malaysia: Vector error correction method (VECM) model&lt;/title&gt;&lt;secondary-title&gt;Journal of Global Business and Social Entrepreneurship&lt;/secondary-title&gt;&lt;/titles&gt;&lt;pages&gt;36-45&lt;/pages&gt;&lt;volume&gt;3&lt;/volume&gt;&lt;number&gt;5&lt;/number&gt;&lt;dates&gt;&lt;year&gt;2017&lt;/year&gt;&lt;/dates&gt;&lt;urls&gt;&lt;/urls&gt;&lt;/record&gt;&lt;/Cite&gt;&lt;/EndNote&gt;</w:instrText>
      </w:r>
      <w:r w:rsidR="00F4174C" w:rsidRPr="00F4174C">
        <w:rPr>
          <w:color w:val="0000CC"/>
          <w:sz w:val="20"/>
          <w:szCs w:val="20"/>
          <w:shd w:val="clear" w:color="auto" w:fill="FFFFFF"/>
        </w:rPr>
        <w:fldChar w:fldCharType="separate"/>
      </w:r>
      <w:hyperlink w:anchor="_ENREF_26" w:tooltip="Khin, 2017 #22" w:history="1">
        <w:r w:rsidR="00AF2A4C">
          <w:rPr>
            <w:noProof/>
            <w:color w:val="0000CC"/>
            <w:sz w:val="20"/>
            <w:szCs w:val="20"/>
            <w:shd w:val="clear" w:color="auto" w:fill="FFFFFF"/>
          </w:rPr>
          <w:t>Khin et al. [26</w:t>
        </w:r>
      </w:hyperlink>
      <w:r w:rsidR="00F4174C">
        <w:rPr>
          <w:noProof/>
          <w:color w:val="0000CC"/>
          <w:sz w:val="20"/>
          <w:szCs w:val="20"/>
          <w:shd w:val="clear" w:color="auto" w:fill="FFFFFF"/>
        </w:rPr>
        <w:t>]</w:t>
      </w:r>
      <w:r w:rsidR="00F4174C" w:rsidRPr="00F4174C">
        <w:rPr>
          <w:color w:val="0000CC"/>
          <w:sz w:val="20"/>
          <w:szCs w:val="20"/>
          <w:shd w:val="clear" w:color="auto" w:fill="FFFFFF"/>
        </w:rPr>
        <w:fldChar w:fldCharType="end"/>
      </w:r>
      <w:r w:rsidRPr="004B7B66">
        <w:rPr>
          <w:sz w:val="20"/>
          <w:szCs w:val="20"/>
          <w:shd w:val="clear" w:color="auto" w:fill="FFFFFF"/>
        </w:rPr>
        <w:t xml:space="preserve"> that interest rate has a negative impact on exchange rate volatility.</w:t>
      </w:r>
    </w:p>
    <w:p w14:paraId="510824E2" w14:textId="63A57657" w:rsidR="000854E4" w:rsidRPr="004B7B66" w:rsidRDefault="000854E4" w:rsidP="007C6DEB">
      <w:pPr>
        <w:pStyle w:val="BodyText2"/>
        <w:spacing w:after="0" w:line="240" w:lineRule="auto"/>
        <w:ind w:firstLine="360"/>
        <w:jc w:val="both"/>
        <w:rPr>
          <w:sz w:val="20"/>
          <w:szCs w:val="20"/>
          <w:shd w:val="clear" w:color="auto" w:fill="FFFFFF"/>
        </w:rPr>
      </w:pPr>
      <w:r w:rsidRPr="004B7B66">
        <w:rPr>
          <w:sz w:val="20"/>
          <w:szCs w:val="20"/>
          <w:shd w:val="clear" w:color="auto" w:fill="FFFFFF"/>
        </w:rPr>
        <w:t xml:space="preserve">The output gap was discovered to have a negative influence on domestic currency volatility. </w:t>
      </w:r>
      <w:r w:rsidRPr="004B7B66">
        <w:rPr>
          <w:sz w:val="20"/>
          <w:szCs w:val="20"/>
          <w:shd w:val="clear" w:color="auto" w:fill="FFFFFF"/>
          <w:lang w:val="en-US"/>
        </w:rPr>
        <w:t>Also, t</w:t>
      </w:r>
      <w:r w:rsidRPr="004B7B66">
        <w:rPr>
          <w:sz w:val="20"/>
          <w:szCs w:val="20"/>
        </w:rPr>
        <w:t xml:space="preserve">he findings related to </w:t>
      </w:r>
      <w:r w:rsidRPr="004B7B66">
        <w:rPr>
          <w:sz w:val="20"/>
          <w:szCs w:val="20"/>
          <w:lang w:val="en-US"/>
        </w:rPr>
        <w:t xml:space="preserve">the </w:t>
      </w:r>
      <w:r w:rsidRPr="004B7B66">
        <w:rPr>
          <w:sz w:val="20"/>
          <w:szCs w:val="20"/>
        </w:rPr>
        <w:t xml:space="preserve">negative relation between </w:t>
      </w:r>
      <w:r w:rsidR="00BC420B">
        <w:rPr>
          <w:sz w:val="20"/>
          <w:szCs w:val="20"/>
        </w:rPr>
        <w:t xml:space="preserve">the </w:t>
      </w:r>
      <w:r w:rsidRPr="004B7B66">
        <w:rPr>
          <w:sz w:val="20"/>
          <w:szCs w:val="20"/>
        </w:rPr>
        <w:t xml:space="preserve">output gap and ER volatility are consistent with </w:t>
      </w:r>
      <w:r w:rsidRPr="004B7B66">
        <w:rPr>
          <w:sz w:val="20"/>
          <w:szCs w:val="20"/>
          <w:lang w:val="en-US"/>
        </w:rPr>
        <w:t xml:space="preserve">the </w:t>
      </w:r>
      <w:r w:rsidRPr="004B7B66">
        <w:rPr>
          <w:sz w:val="20"/>
          <w:szCs w:val="20"/>
        </w:rPr>
        <w:t xml:space="preserve">prior theory of indirect policy described by </w:t>
      </w:r>
      <w:r w:rsidR="00F4174C" w:rsidRPr="00F4174C">
        <w:rPr>
          <w:color w:val="0000CC"/>
          <w:sz w:val="20"/>
          <w:szCs w:val="20"/>
        </w:rPr>
        <w:fldChar w:fldCharType="begin"/>
      </w:r>
      <w:r w:rsidR="00AF2A4C">
        <w:rPr>
          <w:color w:val="0000CC"/>
          <w:sz w:val="20"/>
          <w:szCs w:val="20"/>
        </w:rPr>
        <w:instrText xml:space="preserve"> ADDIN EN.CITE &lt;EndNote&gt;&lt;Cite AuthorYear="1"&gt;&lt;Author&gt;Taylor&lt;/Author&gt;&lt;Year&gt;2001&lt;/Year&gt;&lt;RecNum&gt;36&lt;/RecNum&gt;&lt;DisplayText&gt;Taylor [38]&lt;/DisplayText&gt;&lt;record&gt;&lt;rec-number&gt;36&lt;/rec-number&gt;&lt;foreign-keys&gt;&lt;key app="EN" db-id="w02dva9072e097ez0eov2pwr9fvdzpzav5te"&gt;36&lt;/key&gt;&lt;/foreign-keys&gt;&lt;ref-type name="Journal Article"&gt;17&lt;/ref-type&gt;&lt;contributors&gt;&lt;authors&gt;&lt;author&gt;Taylor, John B&lt;/author&gt;&lt;/authors&gt;&lt;/contributors&gt;&lt;titles&gt;&lt;title&gt;The role of the exchange rate in monetary-policy rules&lt;/title&gt;&lt;secondary-title&gt;American Economic Review&lt;/secondary-title&gt;&lt;/titles&gt;&lt;pages&gt;263-267&lt;/pages&gt;&lt;volume&gt;91&lt;/volume&gt;&lt;number&gt;2&lt;/number&gt;&lt;dates&gt;&lt;year&gt;2001&lt;/year&gt;&lt;/dates&gt;&lt;isbn&gt;0002-8282&lt;/isbn&gt;&lt;urls&gt;&lt;/urls&gt;&lt;electronic-resource-num&gt;https://doi.org/10.1257/aer.91.2.263&lt;/electronic-resource-num&gt;&lt;/record&gt;&lt;/Cite&gt;&lt;/EndNote&gt;</w:instrText>
      </w:r>
      <w:r w:rsidR="00F4174C" w:rsidRPr="00F4174C">
        <w:rPr>
          <w:color w:val="0000CC"/>
          <w:sz w:val="20"/>
          <w:szCs w:val="20"/>
        </w:rPr>
        <w:fldChar w:fldCharType="separate"/>
      </w:r>
      <w:hyperlink w:anchor="_ENREF_38" w:tooltip="Taylor, 2001 #36" w:history="1">
        <w:r w:rsidR="00AF2A4C">
          <w:rPr>
            <w:noProof/>
            <w:color w:val="0000CC"/>
            <w:sz w:val="20"/>
            <w:szCs w:val="20"/>
          </w:rPr>
          <w:t>Taylor [38</w:t>
        </w:r>
      </w:hyperlink>
      <w:r w:rsidR="00F4174C">
        <w:rPr>
          <w:noProof/>
          <w:color w:val="0000CC"/>
          <w:sz w:val="20"/>
          <w:szCs w:val="20"/>
        </w:rPr>
        <w:t>]</w:t>
      </w:r>
      <w:r w:rsidR="00F4174C" w:rsidRPr="00F4174C">
        <w:rPr>
          <w:color w:val="0000CC"/>
          <w:sz w:val="20"/>
          <w:szCs w:val="20"/>
        </w:rPr>
        <w:fldChar w:fldCharType="end"/>
      </w:r>
      <w:r w:rsidRPr="004B7B66">
        <w:rPr>
          <w:sz w:val="20"/>
          <w:szCs w:val="20"/>
        </w:rPr>
        <w:t xml:space="preserve">. </w:t>
      </w:r>
      <w:r w:rsidRPr="004B7B66">
        <w:rPr>
          <w:sz w:val="20"/>
          <w:szCs w:val="20"/>
          <w:shd w:val="clear" w:color="auto" w:fill="FFFFFF"/>
        </w:rPr>
        <w:t xml:space="preserve">This is in accordance with </w:t>
      </w:r>
      <w:r w:rsidR="00BC420B">
        <w:rPr>
          <w:sz w:val="20"/>
          <w:szCs w:val="20"/>
          <w:shd w:val="clear" w:color="auto" w:fill="FFFFFF"/>
        </w:rPr>
        <w:t xml:space="preserve">a </w:t>
      </w:r>
      <w:r w:rsidRPr="004B7B66">
        <w:rPr>
          <w:sz w:val="20"/>
          <w:szCs w:val="20"/>
          <w:shd w:val="clear" w:color="auto" w:fill="FFFFFF"/>
        </w:rPr>
        <w:t>previous study</w:t>
      </w:r>
      <w:r w:rsidR="00F4174C">
        <w:rPr>
          <w:sz w:val="20"/>
          <w:szCs w:val="20"/>
          <w:shd w:val="clear" w:color="auto" w:fill="FFFFFF"/>
        </w:rPr>
        <w:t xml:space="preserve"> </w:t>
      </w:r>
      <w:r w:rsidRPr="004B7B66">
        <w:rPr>
          <w:sz w:val="20"/>
          <w:szCs w:val="20"/>
          <w:shd w:val="clear" w:color="auto" w:fill="FFFFFF"/>
        </w:rPr>
        <w:t xml:space="preserve">by </w:t>
      </w:r>
      <w:r w:rsidR="00F4174C" w:rsidRPr="00F4174C">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AuthorYear="1"&gt;&lt;Author&gt;Kilicarslan&lt;/Author&gt;&lt;Year&gt;2018&lt;/Year&gt;&lt;RecNum&gt;23&lt;/RecNum&gt;&lt;DisplayText&gt;Kilicarslan [12]&lt;/DisplayText&gt;&lt;record&gt;&lt;rec-number&gt;23&lt;/rec-number&gt;&lt;foreign-keys&gt;&lt;key app="EN" db-id="w02dva9072e097ez0eov2pwr9fvdzpzav5te"&gt;23&lt;/key&gt;&lt;/foreign-keys&gt;&lt;ref-type name="Journal Article"&gt;17&lt;/ref-type&gt;&lt;contributors&gt;&lt;authors&gt;&lt;author&gt;Kilicarslan, Zerrin&lt;/author&gt;&lt;/authors&gt;&lt;/contributors&gt;&lt;titles&gt;&lt;title&gt;Determinants of exchange rate volatility: Empirical evidence for Turkey&lt;/title&gt;&lt;secondary-title&gt;Journal of Economics Finance and Accounting&lt;/secondary-title&gt;&lt;/titles&gt;&lt;pages&gt;204-213&lt;/pages&gt;&lt;volume&gt;5&lt;/volume&gt;&lt;number&gt;2&lt;/number&gt;&lt;dates&gt;&lt;year&gt;2018&lt;/year&gt;&lt;/dates&gt;&lt;urls&gt;&lt;/urls&gt;&lt;electronic-resource-num&gt;https://doi.org/10.17261/pressacademia.2018.825&lt;/electronic-resource-num&gt;&lt;/record&gt;&lt;/Cite&gt;&lt;/EndNote&gt;</w:instrText>
      </w:r>
      <w:r w:rsidR="00F4174C" w:rsidRPr="00F4174C">
        <w:rPr>
          <w:color w:val="0000CC"/>
          <w:sz w:val="20"/>
          <w:szCs w:val="20"/>
          <w:shd w:val="clear" w:color="auto" w:fill="FFFFFF"/>
        </w:rPr>
        <w:fldChar w:fldCharType="separate"/>
      </w:r>
      <w:hyperlink w:anchor="_ENREF_12" w:tooltip="Kilicarslan, 2018 #23" w:history="1">
        <w:r w:rsidR="00AF2A4C">
          <w:rPr>
            <w:noProof/>
            <w:color w:val="0000CC"/>
            <w:sz w:val="20"/>
            <w:szCs w:val="20"/>
            <w:shd w:val="clear" w:color="auto" w:fill="FFFFFF"/>
          </w:rPr>
          <w:t>Kilicarslan [12</w:t>
        </w:r>
      </w:hyperlink>
      <w:r w:rsidR="00F4174C">
        <w:rPr>
          <w:noProof/>
          <w:color w:val="0000CC"/>
          <w:sz w:val="20"/>
          <w:szCs w:val="20"/>
          <w:shd w:val="clear" w:color="auto" w:fill="FFFFFF"/>
        </w:rPr>
        <w:t>]</w:t>
      </w:r>
      <w:r w:rsidR="00F4174C" w:rsidRPr="00F4174C">
        <w:rPr>
          <w:color w:val="0000CC"/>
          <w:sz w:val="20"/>
          <w:szCs w:val="20"/>
          <w:shd w:val="clear" w:color="auto" w:fill="FFFFFF"/>
        </w:rPr>
        <w:fldChar w:fldCharType="end"/>
      </w:r>
      <w:r w:rsidRPr="004B7B66">
        <w:rPr>
          <w:sz w:val="20"/>
          <w:szCs w:val="20"/>
          <w:shd w:val="clear" w:color="auto" w:fill="FFFFFF"/>
        </w:rPr>
        <w:t xml:space="preserve"> as well as </w:t>
      </w:r>
      <w:r w:rsidR="00F4174C" w:rsidRPr="00F4174C">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AuthorYear="1"&gt;&lt;Author&gt;Hassan&lt;/Author&gt;&lt;Year&gt;2017&lt;/Year&gt;&lt;RecNum&gt;18&lt;/RecNum&gt;&lt;DisplayText&gt;Hassan and Dantama [30]&lt;/DisplayText&gt;&lt;record&gt;&lt;rec-number&gt;18&lt;/rec-number&gt;&lt;foreign-keys&gt;&lt;key app="EN" db-id="w02dva9072e097ez0eov2pwr9fvdzpzav5te"&gt;18&lt;/key&gt;&lt;/foreign-keys&gt;&lt;ref-type name="Journal Article"&gt;17&lt;/ref-type&gt;&lt;contributors&gt;&lt;authors&gt;&lt;author&gt;Hassan, Adamu&lt;/author&gt;&lt;author&gt;Dantama, Yusuf Umar&lt;/author&gt;&lt;/authors&gt;&lt;/contributors&gt;&lt;titles&gt;&lt;title&gt;Determinants of exchange rate volatility: New estimates from Nigeria&lt;/title&gt;&lt;secondary-title&gt;Eastern Journal of Economics and Finance&lt;/secondary-title&gt;&lt;/titles&gt;&lt;pages&gt;1-12&lt;/pages&gt;&lt;volume&gt;3&lt;/volume&gt;&lt;number&gt;1&lt;/number&gt;&lt;dates&gt;&lt;year&gt;2017&lt;/year&gt;&lt;/dates&gt;&lt;urls&gt;&lt;/urls&gt;&lt;electronic-resource-num&gt;https://doi.org/10.20448/809.3.1.1.12&lt;/electronic-resource-num&gt;&lt;/record&gt;&lt;/Cite&gt;&lt;/EndNote&gt;</w:instrText>
      </w:r>
      <w:r w:rsidR="00F4174C" w:rsidRPr="00F4174C">
        <w:rPr>
          <w:color w:val="0000CC"/>
          <w:sz w:val="20"/>
          <w:szCs w:val="20"/>
          <w:shd w:val="clear" w:color="auto" w:fill="FFFFFF"/>
        </w:rPr>
        <w:fldChar w:fldCharType="separate"/>
      </w:r>
      <w:hyperlink w:anchor="_ENREF_30" w:tooltip="Hassan, 2017 #18" w:history="1">
        <w:r w:rsidR="00AF2A4C">
          <w:rPr>
            <w:noProof/>
            <w:color w:val="0000CC"/>
            <w:sz w:val="20"/>
            <w:szCs w:val="20"/>
            <w:shd w:val="clear" w:color="auto" w:fill="FFFFFF"/>
          </w:rPr>
          <w:t>Hassan and Dantama [30</w:t>
        </w:r>
      </w:hyperlink>
      <w:r w:rsidR="00F4174C">
        <w:rPr>
          <w:noProof/>
          <w:color w:val="0000CC"/>
          <w:sz w:val="20"/>
          <w:szCs w:val="20"/>
          <w:shd w:val="clear" w:color="auto" w:fill="FFFFFF"/>
        </w:rPr>
        <w:t>]</w:t>
      </w:r>
      <w:r w:rsidR="00F4174C" w:rsidRPr="00F4174C">
        <w:rPr>
          <w:color w:val="0000CC"/>
          <w:sz w:val="20"/>
          <w:szCs w:val="20"/>
          <w:shd w:val="clear" w:color="auto" w:fill="FFFFFF"/>
        </w:rPr>
        <w:fldChar w:fldCharType="end"/>
      </w:r>
      <w:r w:rsidRPr="004B7B66">
        <w:rPr>
          <w:sz w:val="20"/>
          <w:szCs w:val="20"/>
          <w:shd w:val="clear" w:color="auto" w:fill="FFFFFF"/>
        </w:rPr>
        <w:t xml:space="preserve">. The reduction was mainly observed to be the improvement in the national income due to the increase in </w:t>
      </w:r>
      <w:r w:rsidR="00BC420B">
        <w:rPr>
          <w:sz w:val="20"/>
          <w:szCs w:val="20"/>
          <w:shd w:val="clear" w:color="auto" w:fill="FFFFFF"/>
        </w:rPr>
        <w:t xml:space="preserve">the </w:t>
      </w:r>
      <w:r w:rsidRPr="004B7B66">
        <w:rPr>
          <w:sz w:val="20"/>
          <w:szCs w:val="20"/>
          <w:shd w:val="clear" w:color="auto" w:fill="FFFFFF"/>
        </w:rPr>
        <w:t xml:space="preserve">output gap that causes more stability in the macroeconomic conditions of the country as well as its exchange rate. Meanwhile, </w:t>
      </w:r>
      <w:r w:rsidR="00F4174C" w:rsidRPr="00F4174C">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AuthorYear="1"&gt;&lt;Author&gt;Adeoye&lt;/Author&gt;&lt;Year&gt;2014&lt;/Year&gt;&lt;RecNum&gt;2&lt;/RecNum&gt;&lt;DisplayText&gt;Adeoye and Saibu [5]&lt;/DisplayText&gt;&lt;record&gt;&lt;rec-number&gt;2&lt;/rec-number&gt;&lt;foreign-keys&gt;&lt;key app="EN" db-id="w02dva9072e097ez0eov2pwr9fvdzpzav5te"&gt;2&lt;/key&gt;&lt;/foreign-keys&gt;&lt;ref-type name="Journal Article"&gt;17&lt;/ref-type&gt;&lt;contributors&gt;&lt;authors&gt;&lt;author&gt;Adeoye, B. W.&lt;/author&gt;&lt;author&gt;Saibu, O. M.&lt;/author&gt;&lt;/authors&gt;&lt;/contributors&gt;&lt;titles&gt;&lt;title&gt;Monetary policy shocks and exchange rate volatility in Nigeria&lt;/title&gt;&lt;secondary-title&gt;Asian Economic and Financial Review&lt;/secondary-title&gt;&lt;/titles&gt;&lt;pages&gt;544-562&lt;/pages&gt;&lt;volume&gt;4&lt;/volume&gt;&lt;number&gt;4&lt;/number&gt;&lt;dates&gt;&lt;year&gt;2014&lt;/year&gt;&lt;/dates&gt;&lt;urls&gt;&lt;/urls&gt;&lt;/record&gt;&lt;/Cite&gt;&lt;/EndNote&gt;</w:instrText>
      </w:r>
      <w:r w:rsidR="00F4174C" w:rsidRPr="00F4174C">
        <w:rPr>
          <w:color w:val="0000CC"/>
          <w:sz w:val="20"/>
          <w:szCs w:val="20"/>
          <w:shd w:val="clear" w:color="auto" w:fill="FFFFFF"/>
        </w:rPr>
        <w:fldChar w:fldCharType="separate"/>
      </w:r>
      <w:hyperlink w:anchor="_ENREF_5" w:tooltip="Adeoye, 2014 #2" w:history="1">
        <w:r w:rsidR="00AF2A4C">
          <w:rPr>
            <w:noProof/>
            <w:color w:val="0000CC"/>
            <w:sz w:val="20"/>
            <w:szCs w:val="20"/>
            <w:shd w:val="clear" w:color="auto" w:fill="FFFFFF"/>
          </w:rPr>
          <w:t>Adeoye and Saibu [5</w:t>
        </w:r>
      </w:hyperlink>
      <w:r w:rsidR="00F4174C">
        <w:rPr>
          <w:noProof/>
          <w:color w:val="0000CC"/>
          <w:sz w:val="20"/>
          <w:szCs w:val="20"/>
          <w:shd w:val="clear" w:color="auto" w:fill="FFFFFF"/>
        </w:rPr>
        <w:t>]</w:t>
      </w:r>
      <w:r w:rsidR="00F4174C" w:rsidRPr="00F4174C">
        <w:rPr>
          <w:color w:val="0000CC"/>
          <w:sz w:val="20"/>
          <w:szCs w:val="20"/>
          <w:shd w:val="clear" w:color="auto" w:fill="FFFFFF"/>
        </w:rPr>
        <w:fldChar w:fldCharType="end"/>
      </w:r>
      <w:r w:rsidR="00F4174C">
        <w:rPr>
          <w:sz w:val="20"/>
          <w:szCs w:val="20"/>
          <w:shd w:val="clear" w:color="auto" w:fill="FFFFFF"/>
        </w:rPr>
        <w:t>;</w:t>
      </w:r>
      <w:r w:rsidRPr="004B7B66">
        <w:rPr>
          <w:sz w:val="20"/>
          <w:szCs w:val="20"/>
          <w:shd w:val="clear" w:color="auto" w:fill="FFFFFF"/>
        </w:rPr>
        <w:t xml:space="preserve"> </w:t>
      </w:r>
      <w:r w:rsidR="00F4174C" w:rsidRPr="00F4174C">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AuthorYear="1"&gt;&lt;Author&gt;Saha&lt;/Author&gt;&lt;Year&gt;2014&lt;/Year&gt;&lt;RecNum&gt;32&lt;/RecNum&gt;&lt;DisplayText&gt;Saha and Biswas [28]&lt;/DisplayText&gt;&lt;record&gt;&lt;rec-number&gt;32&lt;/rec-number&gt;&lt;foreign-keys&gt;&lt;key app="EN" db-id="w02dva9072e097ez0eov2pwr9fvdzpzav5te"&gt;32&lt;/key&gt;&lt;/foreign-keys&gt;&lt;ref-type name="Journal Article"&gt;17&lt;/ref-type&gt;&lt;contributors&gt;&lt;authors&gt;&lt;author&gt;Saha, A. K.&lt;/author&gt;&lt;author&gt;Biswas, S.&lt;/author&gt;&lt;/authors&gt;&lt;/contributors&gt;&lt;titles&gt;&lt;title&gt;Macroeconomic fundamentals and exchange rate volatility during the floating exchange rate regime in India&lt;/title&gt;&lt;secondary-title&gt;International Journal of Economics &amp;amp; Management&lt;/secondary-title&gt;&lt;/titles&gt;&lt;pages&gt;10-39&lt;/pages&gt;&lt;volume&gt;8&lt;/volume&gt;&lt;number&gt;1&lt;/number&gt;&lt;dates&gt;&lt;year&gt;2014&lt;/year&gt;&lt;/dates&gt;&lt;isbn&gt;1823-836X&lt;/isbn&gt;&lt;urls&gt;&lt;/urls&gt;&lt;/record&gt;&lt;/Cite&gt;&lt;/EndNote&gt;</w:instrText>
      </w:r>
      <w:r w:rsidR="00F4174C" w:rsidRPr="00F4174C">
        <w:rPr>
          <w:color w:val="0000CC"/>
          <w:sz w:val="20"/>
          <w:szCs w:val="20"/>
          <w:shd w:val="clear" w:color="auto" w:fill="FFFFFF"/>
        </w:rPr>
        <w:fldChar w:fldCharType="separate"/>
      </w:r>
      <w:hyperlink w:anchor="_ENREF_28" w:tooltip="Saha, 2014 #32" w:history="1">
        <w:r w:rsidR="00AF2A4C">
          <w:rPr>
            <w:noProof/>
            <w:color w:val="0000CC"/>
            <w:sz w:val="20"/>
            <w:szCs w:val="20"/>
            <w:shd w:val="clear" w:color="auto" w:fill="FFFFFF"/>
          </w:rPr>
          <w:t>Saha and Biswas [28</w:t>
        </w:r>
      </w:hyperlink>
      <w:r w:rsidR="00F4174C">
        <w:rPr>
          <w:noProof/>
          <w:color w:val="0000CC"/>
          <w:sz w:val="20"/>
          <w:szCs w:val="20"/>
          <w:shd w:val="clear" w:color="auto" w:fill="FFFFFF"/>
        </w:rPr>
        <w:t>]</w:t>
      </w:r>
      <w:r w:rsidR="00F4174C" w:rsidRPr="00F4174C">
        <w:rPr>
          <w:color w:val="0000CC"/>
          <w:sz w:val="20"/>
          <w:szCs w:val="20"/>
          <w:shd w:val="clear" w:color="auto" w:fill="FFFFFF"/>
        </w:rPr>
        <w:fldChar w:fldCharType="end"/>
      </w:r>
      <w:r w:rsidRPr="004B7B66">
        <w:rPr>
          <w:sz w:val="20"/>
          <w:szCs w:val="20"/>
          <w:shd w:val="clear" w:color="auto" w:fill="FFFFFF"/>
        </w:rPr>
        <w:t xml:space="preserve"> and </w:t>
      </w:r>
      <w:r w:rsidR="00F4174C" w:rsidRPr="00AB00D7">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AuthorYear="1"&gt;&lt;Author&gt;Mirchandani&lt;/Author&gt;&lt;Year&gt;2013&lt;/Year&gt;&lt;RecNum&gt;27&lt;/RecNum&gt;&lt;DisplayText&gt;Mirchandani [29]&lt;/DisplayText&gt;&lt;record&gt;&lt;rec-number&gt;27&lt;/rec-number&gt;&lt;foreign-keys&gt;&lt;key app="EN" db-id="w02dva9072e097ez0eov2pwr9fvdzpzav5te"&gt;27&lt;/key&gt;&lt;/foreign-keys&gt;&lt;ref-type name="Journal Article"&gt;17&lt;/ref-type&gt;&lt;contributors&gt;&lt;authors&gt;&lt;author&gt;Mirchandani, Anita&lt;/author&gt;&lt;/authors&gt;&lt;/contributors&gt;&lt;titles&gt;&lt;title&gt;Analysis of macroeconomic determinants of exchange rate volatility in India&lt;/title&gt;&lt;secondary-title&gt;International Journal of Economics and Financial Issues&lt;/secondary-title&gt;&lt;/titles&gt;&lt;pages&gt;172-179&lt;/pages&gt;&lt;volume&gt;3&lt;/volume&gt;&lt;number&gt;1&lt;/number&gt;&lt;dates&gt;&lt;year&gt;2013&lt;/year&gt;&lt;/dates&gt;&lt;urls&gt;&lt;/urls&gt;&lt;/record&gt;&lt;/Cite&gt;&lt;/EndNote&gt;</w:instrText>
      </w:r>
      <w:r w:rsidR="00F4174C" w:rsidRPr="00AB00D7">
        <w:rPr>
          <w:color w:val="0000CC"/>
          <w:sz w:val="20"/>
          <w:szCs w:val="20"/>
          <w:shd w:val="clear" w:color="auto" w:fill="FFFFFF"/>
        </w:rPr>
        <w:fldChar w:fldCharType="separate"/>
      </w:r>
      <w:hyperlink w:anchor="_ENREF_29" w:tooltip="Mirchandani, 2013 #27" w:history="1">
        <w:r w:rsidR="00AF2A4C">
          <w:rPr>
            <w:noProof/>
            <w:color w:val="0000CC"/>
            <w:sz w:val="20"/>
            <w:szCs w:val="20"/>
            <w:shd w:val="clear" w:color="auto" w:fill="FFFFFF"/>
          </w:rPr>
          <w:t>Mirchandani [29</w:t>
        </w:r>
      </w:hyperlink>
      <w:r w:rsidR="00F4174C">
        <w:rPr>
          <w:noProof/>
          <w:color w:val="0000CC"/>
          <w:sz w:val="20"/>
          <w:szCs w:val="20"/>
          <w:shd w:val="clear" w:color="auto" w:fill="FFFFFF"/>
        </w:rPr>
        <w:t>]</w:t>
      </w:r>
      <w:r w:rsidR="00F4174C" w:rsidRPr="00AB00D7">
        <w:rPr>
          <w:color w:val="0000CC"/>
          <w:sz w:val="20"/>
          <w:szCs w:val="20"/>
          <w:shd w:val="clear" w:color="auto" w:fill="FFFFFF"/>
        </w:rPr>
        <w:fldChar w:fldCharType="end"/>
      </w:r>
      <w:r w:rsidRPr="004B7B66">
        <w:rPr>
          <w:sz w:val="20"/>
          <w:szCs w:val="20"/>
          <w:shd w:val="clear" w:color="auto" w:fill="FFFFFF"/>
        </w:rPr>
        <w:t xml:space="preserve"> had a contradictory result that the volatility of </w:t>
      </w:r>
      <w:r w:rsidR="003B20B7">
        <w:rPr>
          <w:sz w:val="20"/>
          <w:szCs w:val="20"/>
          <w:shd w:val="clear" w:color="auto" w:fill="FFFFFF"/>
        </w:rPr>
        <w:t xml:space="preserve">the </w:t>
      </w:r>
      <w:r w:rsidRPr="004B7B66">
        <w:rPr>
          <w:sz w:val="20"/>
          <w:szCs w:val="20"/>
          <w:shd w:val="clear" w:color="auto" w:fill="FFFFFF"/>
        </w:rPr>
        <w:t xml:space="preserve">exchange rate became higher with the increase in </w:t>
      </w:r>
      <w:r w:rsidR="003B20B7">
        <w:rPr>
          <w:sz w:val="20"/>
          <w:szCs w:val="20"/>
          <w:shd w:val="clear" w:color="auto" w:fill="FFFFFF"/>
        </w:rPr>
        <w:t xml:space="preserve">the </w:t>
      </w:r>
      <w:r w:rsidRPr="004B7B66">
        <w:rPr>
          <w:sz w:val="20"/>
          <w:szCs w:val="20"/>
          <w:shd w:val="clear" w:color="auto" w:fill="FFFFFF"/>
        </w:rPr>
        <w:t>output gap.</w:t>
      </w:r>
    </w:p>
    <w:p w14:paraId="407BC9D8" w14:textId="4BEE17C7" w:rsidR="000854E4" w:rsidRPr="004B7B66" w:rsidRDefault="000854E4" w:rsidP="007C6DEB">
      <w:pPr>
        <w:pStyle w:val="BodyText2"/>
        <w:spacing w:after="0" w:line="240" w:lineRule="auto"/>
        <w:ind w:firstLine="360"/>
        <w:jc w:val="both"/>
        <w:rPr>
          <w:sz w:val="20"/>
          <w:szCs w:val="20"/>
        </w:rPr>
      </w:pPr>
      <w:r w:rsidRPr="004B7B66">
        <w:rPr>
          <w:sz w:val="20"/>
          <w:szCs w:val="20"/>
          <w:shd w:val="clear" w:color="auto" w:fill="FFFFFF"/>
        </w:rPr>
        <w:t xml:space="preserve">Money per GDP was also found to have a negative influence on exchange rate volatility. This means an increase in this variable usually leads to a subsequent reduction in domestic currency volatility and vice versa. </w:t>
      </w:r>
      <w:r w:rsidRPr="004B7B66">
        <w:rPr>
          <w:sz w:val="20"/>
          <w:szCs w:val="20"/>
        </w:rPr>
        <w:t xml:space="preserve">The findings related to </w:t>
      </w:r>
      <w:r w:rsidRPr="004B7B66">
        <w:rPr>
          <w:sz w:val="20"/>
          <w:szCs w:val="20"/>
          <w:lang w:val="en-US"/>
        </w:rPr>
        <w:t xml:space="preserve">the </w:t>
      </w:r>
      <w:r w:rsidRPr="004B7B66">
        <w:rPr>
          <w:sz w:val="20"/>
          <w:szCs w:val="20"/>
        </w:rPr>
        <w:t>negative relation</w:t>
      </w:r>
      <w:r w:rsidRPr="004B7B66">
        <w:rPr>
          <w:sz w:val="20"/>
          <w:szCs w:val="20"/>
          <w:lang w:val="en-US"/>
        </w:rPr>
        <w:t xml:space="preserve"> </w:t>
      </w:r>
      <w:r w:rsidRPr="004B7B66">
        <w:rPr>
          <w:sz w:val="20"/>
          <w:szCs w:val="20"/>
        </w:rPr>
        <w:t xml:space="preserve">between money and </w:t>
      </w:r>
      <w:r w:rsidRPr="004B7B66">
        <w:rPr>
          <w:sz w:val="20"/>
          <w:szCs w:val="20"/>
          <w:lang w:val="en-US"/>
        </w:rPr>
        <w:t>ER</w:t>
      </w:r>
      <w:r w:rsidRPr="004B7B66">
        <w:rPr>
          <w:sz w:val="20"/>
          <w:szCs w:val="20"/>
        </w:rPr>
        <w:t xml:space="preserve"> volatility are consistent with </w:t>
      </w:r>
      <w:r w:rsidRPr="004B7B66">
        <w:rPr>
          <w:sz w:val="20"/>
          <w:szCs w:val="20"/>
          <w:lang w:val="en-US"/>
        </w:rPr>
        <w:t xml:space="preserve">the </w:t>
      </w:r>
      <w:r w:rsidRPr="004B7B66">
        <w:rPr>
          <w:sz w:val="20"/>
          <w:szCs w:val="20"/>
        </w:rPr>
        <w:t xml:space="preserve">prior theory of neutrality of money by </w:t>
      </w:r>
      <w:r w:rsidR="006D623A" w:rsidRPr="006D623A">
        <w:rPr>
          <w:color w:val="0000CC"/>
          <w:sz w:val="20"/>
          <w:szCs w:val="20"/>
        </w:rPr>
        <w:fldChar w:fldCharType="begin"/>
      </w:r>
      <w:r w:rsidR="00AF2A4C">
        <w:rPr>
          <w:color w:val="0000CC"/>
          <w:sz w:val="20"/>
          <w:szCs w:val="20"/>
        </w:rPr>
        <w:instrText xml:space="preserve"> ADDIN EN.CITE &lt;EndNote&gt;&lt;Cite AuthorYear="1"&gt;&lt;Author&gt;Lucas Jr&lt;/Author&gt;&lt;Year&gt;1972&lt;/Year&gt;&lt;RecNum&gt;26&lt;/RecNum&gt;&lt;DisplayText&gt;Lucas Jr [39]&lt;/DisplayText&gt;&lt;record&gt;&lt;rec-number&gt;26&lt;/rec-number&gt;&lt;foreign-keys&gt;&lt;key app="EN" db-id="w02dva9072e097ez0eov2pwr9fvdzpzav5te"&gt;26&lt;/key&gt;&lt;/foreign-keys&gt;&lt;ref-type name="Journal Article"&gt;17&lt;/ref-type&gt;&lt;contributors&gt;&lt;authors&gt;&lt;author&gt;Lucas Jr, Robert E&lt;/author&gt;&lt;/authors&gt;&lt;/contributors&gt;&lt;titles&gt;&lt;title&gt;Expectations and the neutrality of money&lt;/title&gt;&lt;secondary-title&gt;Journal of Economic Theory&lt;/secondary-title&gt;&lt;/titles&gt;&lt;pages&gt;103-124&lt;/pages&gt;&lt;volume&gt;4&lt;/volume&gt;&lt;number&gt;2&lt;/number&gt;&lt;dates&gt;&lt;year&gt;1972&lt;/year&gt;&lt;/dates&gt;&lt;isbn&gt;0022-0531&lt;/isbn&gt;&lt;urls&gt;&lt;/urls&gt;&lt;electronic-resource-num&gt;https://doi.org/10.1016/0022-0531(72)90142-1&lt;/electronic-resource-num&gt;&lt;/record&gt;&lt;/Cite&gt;&lt;/EndNote&gt;</w:instrText>
      </w:r>
      <w:r w:rsidR="006D623A" w:rsidRPr="006D623A">
        <w:rPr>
          <w:color w:val="0000CC"/>
          <w:sz w:val="20"/>
          <w:szCs w:val="20"/>
        </w:rPr>
        <w:fldChar w:fldCharType="separate"/>
      </w:r>
      <w:hyperlink w:anchor="_ENREF_39" w:tooltip="Lucas Jr, 1972 #26" w:history="1">
        <w:r w:rsidR="00AF2A4C">
          <w:rPr>
            <w:noProof/>
            <w:color w:val="0000CC"/>
            <w:sz w:val="20"/>
            <w:szCs w:val="20"/>
          </w:rPr>
          <w:t>Lucas Jr [39</w:t>
        </w:r>
      </w:hyperlink>
      <w:r w:rsidR="006D623A">
        <w:rPr>
          <w:noProof/>
          <w:color w:val="0000CC"/>
          <w:sz w:val="20"/>
          <w:szCs w:val="20"/>
        </w:rPr>
        <w:t>]</w:t>
      </w:r>
      <w:r w:rsidR="006D623A" w:rsidRPr="006D623A">
        <w:rPr>
          <w:color w:val="0000CC"/>
          <w:sz w:val="20"/>
          <w:szCs w:val="20"/>
        </w:rPr>
        <w:fldChar w:fldCharType="end"/>
      </w:r>
      <w:r w:rsidRPr="004B7B66">
        <w:rPr>
          <w:sz w:val="20"/>
          <w:szCs w:val="20"/>
        </w:rPr>
        <w:t>.</w:t>
      </w:r>
      <w:r w:rsidRPr="004B7B66">
        <w:rPr>
          <w:sz w:val="20"/>
          <w:szCs w:val="20"/>
          <w:shd w:val="clear" w:color="auto" w:fill="FFFFFF"/>
        </w:rPr>
        <w:t xml:space="preserve">  Therefore, an increase in the money per GDP was discovered to have the ability to cause a reduction in exchange rate volatility which is in accordance with </w:t>
      </w:r>
      <w:r w:rsidR="006D623A" w:rsidRPr="006D623A">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AuthorYear="1"&gt;&lt;Author&gt;Jabeen&lt;/Author&gt;&lt;Year&gt;2014&lt;/Year&gt;&lt;RecNum&gt;21&lt;/RecNum&gt;&lt;DisplayText&gt;Jabeen and Khan [31]&lt;/DisplayText&gt;&lt;record&gt;&lt;rec-number&gt;21&lt;/rec-number&gt;&lt;foreign-keys&gt;&lt;key app="EN" db-id="w02dva9072e097ez0eov2pwr9fvdzpzav5te"&gt;21&lt;/key&gt;&lt;/foreign-keys&gt;&lt;ref-type name="Journal Article"&gt;17&lt;/ref-type&gt;&lt;contributors&gt;&lt;authors&gt;&lt;author&gt;Jabeen, Munazza&lt;/author&gt;&lt;author&gt;Khan, Saud Ahmad&lt;/author&gt;&lt;/authors&gt;&lt;/contributors&gt;&lt;titles&gt;&lt;title&gt;Modelling exchange rate volatility by macroeconomic fundamentals in Pakistan&lt;/title&gt;&lt;secondary-title&gt;International Econometric Review&lt;/secondary-title&gt;&lt;/titles&gt;&lt;pages&gt;58-76&lt;/pages&gt;&lt;volume&gt;6&lt;/volume&gt;&lt;number&gt;2&lt;/number&gt;&lt;dates&gt;&lt;year&gt;2014&lt;/year&gt;&lt;/dates&gt;&lt;isbn&gt;1308-8793&lt;/isbn&gt;&lt;urls&gt;&lt;/urls&gt;&lt;electronic-resource-num&gt;https://doi.org/10.33818/ier.278035&lt;/electronic-resource-num&gt;&lt;/record&gt;&lt;/Cite&gt;&lt;/EndNote&gt;</w:instrText>
      </w:r>
      <w:r w:rsidR="006D623A" w:rsidRPr="006D623A">
        <w:rPr>
          <w:color w:val="0000CC"/>
          <w:sz w:val="20"/>
          <w:szCs w:val="20"/>
          <w:shd w:val="clear" w:color="auto" w:fill="FFFFFF"/>
        </w:rPr>
        <w:fldChar w:fldCharType="separate"/>
      </w:r>
      <w:hyperlink w:anchor="_ENREF_31" w:tooltip="Jabeen, 2014 #21" w:history="1">
        <w:r w:rsidR="00AF2A4C">
          <w:rPr>
            <w:noProof/>
            <w:color w:val="0000CC"/>
            <w:sz w:val="20"/>
            <w:szCs w:val="20"/>
            <w:shd w:val="clear" w:color="auto" w:fill="FFFFFF"/>
          </w:rPr>
          <w:t>Jabeen and Khan [31</w:t>
        </w:r>
      </w:hyperlink>
      <w:r w:rsidR="006D623A">
        <w:rPr>
          <w:noProof/>
          <w:color w:val="0000CC"/>
          <w:sz w:val="20"/>
          <w:szCs w:val="20"/>
          <w:shd w:val="clear" w:color="auto" w:fill="FFFFFF"/>
        </w:rPr>
        <w:t>]</w:t>
      </w:r>
      <w:r w:rsidR="006D623A" w:rsidRPr="006D623A">
        <w:rPr>
          <w:color w:val="0000CC"/>
          <w:sz w:val="20"/>
          <w:szCs w:val="20"/>
          <w:shd w:val="clear" w:color="auto" w:fill="FFFFFF"/>
        </w:rPr>
        <w:fldChar w:fldCharType="end"/>
      </w:r>
      <w:r w:rsidR="006D623A">
        <w:rPr>
          <w:sz w:val="20"/>
          <w:szCs w:val="20"/>
          <w:shd w:val="clear" w:color="auto" w:fill="FFFFFF"/>
        </w:rPr>
        <w:t>;</w:t>
      </w:r>
      <w:r w:rsidRPr="004B7B66">
        <w:rPr>
          <w:sz w:val="20"/>
          <w:szCs w:val="20"/>
          <w:shd w:val="clear" w:color="auto" w:fill="FFFFFF"/>
        </w:rPr>
        <w:t xml:space="preserve"> </w:t>
      </w:r>
      <w:r w:rsidR="006D623A" w:rsidRPr="006D623A">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AuthorYear="1"&gt;&lt;Author&gt;Ali&lt;/Author&gt;&lt;Year&gt;2015&lt;/Year&gt;&lt;RecNum&gt;4&lt;/RecNum&gt;&lt;DisplayText&gt;Ali, et al. [27]&lt;/DisplayText&gt;&lt;record&gt;&lt;rec-number&gt;4&lt;/rec-number&gt;&lt;foreign-keys&gt;&lt;key app="EN" db-id="w02dva9072e097ez0eov2pwr9fvdzpzav5te"&gt;4&lt;/key&gt;&lt;/foreign-keys&gt;&lt;ref-type name="Journal Article"&gt;17&lt;/ref-type&gt;&lt;contributors&gt;&lt;authors&gt;&lt;author&gt;Ali, Tariq Mahmood&lt;/author&gt;&lt;author&gt;Mahmood, Muhammad Tariq&lt;/author&gt;&lt;author&gt;Bashir, Tariq&lt;/author&gt;&lt;/authors&gt;&lt;/contributors&gt;&lt;titles&gt;&lt;title&gt;Impact of interest rate, inflation and money supply on exchange rate volatility in Pakistan&lt;/title&gt;&lt;secondary-title&gt;World Applied Sciences Journal&lt;/secondary-title&gt;&lt;/titles&gt;&lt;pages&gt;620-630&lt;/pages&gt;&lt;volume&gt;33&lt;/volume&gt;&lt;number&gt;4&lt;/number&gt;&lt;dates&gt;&lt;year&gt;2015&lt;/year&gt;&lt;/dates&gt;&lt;isbn&gt;1818-4952&lt;/isbn&gt;&lt;urls&gt;&lt;/urls&gt;&lt;/record&gt;&lt;/Cite&gt;&lt;/EndNote&gt;</w:instrText>
      </w:r>
      <w:r w:rsidR="006D623A" w:rsidRPr="006D623A">
        <w:rPr>
          <w:color w:val="0000CC"/>
          <w:sz w:val="20"/>
          <w:szCs w:val="20"/>
          <w:shd w:val="clear" w:color="auto" w:fill="FFFFFF"/>
        </w:rPr>
        <w:fldChar w:fldCharType="separate"/>
      </w:r>
      <w:hyperlink w:anchor="_ENREF_27" w:tooltip="Ali, 2015 #4" w:history="1">
        <w:r w:rsidR="00AF2A4C">
          <w:rPr>
            <w:noProof/>
            <w:color w:val="0000CC"/>
            <w:sz w:val="20"/>
            <w:szCs w:val="20"/>
            <w:shd w:val="clear" w:color="auto" w:fill="FFFFFF"/>
          </w:rPr>
          <w:t>Ali et al. [27</w:t>
        </w:r>
      </w:hyperlink>
      <w:r w:rsidR="006D623A">
        <w:rPr>
          <w:noProof/>
          <w:color w:val="0000CC"/>
          <w:sz w:val="20"/>
          <w:szCs w:val="20"/>
          <w:shd w:val="clear" w:color="auto" w:fill="FFFFFF"/>
        </w:rPr>
        <w:t>]</w:t>
      </w:r>
      <w:r w:rsidR="006D623A" w:rsidRPr="006D623A">
        <w:rPr>
          <w:color w:val="0000CC"/>
          <w:sz w:val="20"/>
          <w:szCs w:val="20"/>
          <w:shd w:val="clear" w:color="auto" w:fill="FFFFFF"/>
        </w:rPr>
        <w:fldChar w:fldCharType="end"/>
      </w:r>
      <w:r w:rsidRPr="004B7B66">
        <w:rPr>
          <w:sz w:val="20"/>
          <w:szCs w:val="20"/>
          <w:shd w:val="clear" w:color="auto" w:fill="FFFFFF"/>
        </w:rPr>
        <w:t xml:space="preserve"> and </w:t>
      </w:r>
      <w:r w:rsidR="006D623A" w:rsidRPr="00F4174C">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AuthorYear="1"&gt;&lt;Author&gt;Khin&lt;/Author&gt;&lt;Year&gt;2017&lt;/Year&gt;&lt;RecNum&gt;22&lt;/RecNum&gt;&lt;DisplayText&gt;Khin, et al. [26]&lt;/DisplayText&gt;&lt;record&gt;&lt;rec-number&gt;22&lt;/rec-number&gt;&lt;foreign-keys&gt;&lt;key app="EN" db-id="w02dva9072e097ez0eov2pwr9fvdzpzav5te"&gt;22&lt;/key&gt;&lt;/foreign-keys&gt;&lt;ref-type name="Journal Article"&gt;17&lt;/ref-type&gt;&lt;contributors&gt;&lt;authors&gt;&lt;author&gt;Khin, Aye Aye&lt;/author&gt;&lt;author&gt;Yee, Chiow Yet&lt;/author&gt;&lt;author&gt;Seng, Ler Su&lt;/author&gt;&lt;author&gt;Wan, Chan Mei&lt;/author&gt;&lt;author&gt;Xian, Goh Qi&lt;/author&gt;&lt;/authors&gt;&lt;/contributors&gt;&lt;titles&gt;&lt;title&gt;Exchange rate volatility on macroeconomıc determinants in Malaysia: Vector error correction method (VECM) model&lt;/title&gt;&lt;secondary-title&gt;Journal of Global Business and Social Entrepreneurship&lt;/secondary-title&gt;&lt;/titles&gt;&lt;pages&gt;36-45&lt;/pages&gt;&lt;volume&gt;3&lt;/volume&gt;&lt;number&gt;5&lt;/number&gt;&lt;dates&gt;&lt;year&gt;2017&lt;/year&gt;&lt;/dates&gt;&lt;urls&gt;&lt;/urls&gt;&lt;/record&gt;&lt;/Cite&gt;&lt;/EndNote&gt;</w:instrText>
      </w:r>
      <w:r w:rsidR="006D623A" w:rsidRPr="00F4174C">
        <w:rPr>
          <w:color w:val="0000CC"/>
          <w:sz w:val="20"/>
          <w:szCs w:val="20"/>
          <w:shd w:val="clear" w:color="auto" w:fill="FFFFFF"/>
        </w:rPr>
        <w:fldChar w:fldCharType="separate"/>
      </w:r>
      <w:hyperlink w:anchor="_ENREF_26" w:tooltip="Khin, 2017 #22" w:history="1">
        <w:r w:rsidR="00AF2A4C">
          <w:rPr>
            <w:noProof/>
            <w:color w:val="0000CC"/>
            <w:sz w:val="20"/>
            <w:szCs w:val="20"/>
            <w:shd w:val="clear" w:color="auto" w:fill="FFFFFF"/>
          </w:rPr>
          <w:t>Khin et al. [26</w:t>
        </w:r>
      </w:hyperlink>
      <w:r w:rsidR="006D623A">
        <w:rPr>
          <w:noProof/>
          <w:color w:val="0000CC"/>
          <w:sz w:val="20"/>
          <w:szCs w:val="20"/>
          <w:shd w:val="clear" w:color="auto" w:fill="FFFFFF"/>
        </w:rPr>
        <w:t>]</w:t>
      </w:r>
      <w:r w:rsidR="006D623A" w:rsidRPr="00F4174C">
        <w:rPr>
          <w:color w:val="0000CC"/>
          <w:sz w:val="20"/>
          <w:szCs w:val="20"/>
          <w:shd w:val="clear" w:color="auto" w:fill="FFFFFF"/>
        </w:rPr>
        <w:fldChar w:fldCharType="end"/>
      </w:r>
      <w:r w:rsidRPr="004B7B66">
        <w:rPr>
          <w:sz w:val="20"/>
          <w:szCs w:val="20"/>
          <w:shd w:val="clear" w:color="auto" w:fill="FFFFFF"/>
        </w:rPr>
        <w:t xml:space="preserve">.  The negative relationship between </w:t>
      </w:r>
      <w:r w:rsidR="00C81BAE">
        <w:rPr>
          <w:sz w:val="20"/>
          <w:szCs w:val="20"/>
          <w:shd w:val="clear" w:color="auto" w:fill="FFFFFF"/>
        </w:rPr>
        <w:t xml:space="preserve">the </w:t>
      </w:r>
      <w:r w:rsidRPr="004B7B66">
        <w:rPr>
          <w:sz w:val="20"/>
          <w:szCs w:val="20"/>
          <w:shd w:val="clear" w:color="auto" w:fill="FFFFFF"/>
        </w:rPr>
        <w:t xml:space="preserve">output gap and exchange rate volatility is due to </w:t>
      </w:r>
      <w:r w:rsidR="000A053A">
        <w:rPr>
          <w:sz w:val="20"/>
          <w:szCs w:val="20"/>
          <w:shd w:val="clear" w:color="auto" w:fill="FFFFFF"/>
        </w:rPr>
        <w:t xml:space="preserve">the </w:t>
      </w:r>
      <w:r w:rsidRPr="004B7B66">
        <w:rPr>
          <w:sz w:val="20"/>
          <w:szCs w:val="20"/>
          <w:shd w:val="clear" w:color="auto" w:fill="FFFFFF"/>
        </w:rPr>
        <w:t>supply shock effect. When the economy is overheating, higher productivity drives the firms to increase output. The extra level of output leads to an increase in export and a decrease in import</w:t>
      </w:r>
      <w:r w:rsidR="000A053A">
        <w:rPr>
          <w:sz w:val="20"/>
          <w:szCs w:val="20"/>
          <w:shd w:val="clear" w:color="auto" w:fill="FFFFFF"/>
        </w:rPr>
        <w:t>s</w:t>
      </w:r>
      <w:r w:rsidRPr="004B7B66">
        <w:rPr>
          <w:sz w:val="20"/>
          <w:szCs w:val="20"/>
          <w:shd w:val="clear" w:color="auto" w:fill="FFFFFF"/>
        </w:rPr>
        <w:t xml:space="preserve">, which will stabilise </w:t>
      </w:r>
      <w:r w:rsidR="000A053A">
        <w:rPr>
          <w:sz w:val="20"/>
          <w:szCs w:val="20"/>
          <w:shd w:val="clear" w:color="auto" w:fill="FFFFFF"/>
        </w:rPr>
        <w:t xml:space="preserve">the </w:t>
      </w:r>
      <w:r w:rsidRPr="004B7B66">
        <w:rPr>
          <w:sz w:val="20"/>
          <w:szCs w:val="20"/>
          <w:shd w:val="clear" w:color="auto" w:fill="FFFFFF"/>
        </w:rPr>
        <w:t xml:space="preserve">exchange rate. This is in accordance with </w:t>
      </w:r>
      <w:r w:rsidR="003B0A80" w:rsidRPr="00F4174C">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AuthorYear="1"&gt;&lt;Author&gt;Adeoye&lt;/Author&gt;&lt;Year&gt;2014&lt;/Year&gt;&lt;RecNum&gt;2&lt;/RecNum&gt;&lt;DisplayText&gt;Adeoye and Saibu [5]&lt;/DisplayText&gt;&lt;record&gt;&lt;rec-number&gt;2&lt;/rec-number&gt;&lt;foreign-keys&gt;&lt;key app="EN" db-id="w02dva9072e097ez0eov2pwr9fvdzpzav5te"&gt;2&lt;/key&gt;&lt;/foreign-keys&gt;&lt;ref-type name="Journal Article"&gt;17&lt;/ref-type&gt;&lt;contributors&gt;&lt;authors&gt;&lt;author&gt;Adeoye, B. W.&lt;/author&gt;&lt;author&gt;Saibu, O. M.&lt;/author&gt;&lt;/authors&gt;&lt;/contributors&gt;&lt;titles&gt;&lt;title&gt;Monetary policy shocks and exchange rate volatility in Nigeria&lt;/title&gt;&lt;secondary-title&gt;Asian Economic and Financial Review&lt;/secondary-title&gt;&lt;/titles&gt;&lt;pages&gt;544-562&lt;/pages&gt;&lt;volume&gt;4&lt;/volume&gt;&lt;number&gt;4&lt;/number&gt;&lt;dates&gt;&lt;year&gt;2014&lt;/year&gt;&lt;/dates&gt;&lt;urls&gt;&lt;/urls&gt;&lt;/record&gt;&lt;/Cite&gt;&lt;/EndNote&gt;</w:instrText>
      </w:r>
      <w:r w:rsidR="003B0A80" w:rsidRPr="00F4174C">
        <w:rPr>
          <w:color w:val="0000CC"/>
          <w:sz w:val="20"/>
          <w:szCs w:val="20"/>
          <w:shd w:val="clear" w:color="auto" w:fill="FFFFFF"/>
        </w:rPr>
        <w:fldChar w:fldCharType="separate"/>
      </w:r>
      <w:hyperlink w:anchor="_ENREF_5" w:tooltip="Adeoye, 2014 #2" w:history="1">
        <w:r w:rsidR="00AF2A4C">
          <w:rPr>
            <w:noProof/>
            <w:color w:val="0000CC"/>
            <w:sz w:val="20"/>
            <w:szCs w:val="20"/>
            <w:shd w:val="clear" w:color="auto" w:fill="FFFFFF"/>
          </w:rPr>
          <w:t>Adeoye and Saibu [5</w:t>
        </w:r>
      </w:hyperlink>
      <w:r w:rsidR="003B0A80">
        <w:rPr>
          <w:noProof/>
          <w:color w:val="0000CC"/>
          <w:sz w:val="20"/>
          <w:szCs w:val="20"/>
          <w:shd w:val="clear" w:color="auto" w:fill="FFFFFF"/>
        </w:rPr>
        <w:t>]</w:t>
      </w:r>
      <w:r w:rsidR="003B0A80" w:rsidRPr="00F4174C">
        <w:rPr>
          <w:color w:val="0000CC"/>
          <w:sz w:val="20"/>
          <w:szCs w:val="20"/>
          <w:shd w:val="clear" w:color="auto" w:fill="FFFFFF"/>
        </w:rPr>
        <w:fldChar w:fldCharType="end"/>
      </w:r>
      <w:r w:rsidR="00BE395C">
        <w:rPr>
          <w:sz w:val="20"/>
          <w:szCs w:val="20"/>
          <w:shd w:val="clear" w:color="auto" w:fill="FFFFFF"/>
        </w:rPr>
        <w:t>;</w:t>
      </w:r>
      <w:r w:rsidRPr="004B7B66">
        <w:rPr>
          <w:sz w:val="20"/>
          <w:szCs w:val="20"/>
          <w:shd w:val="clear" w:color="auto" w:fill="FFFFFF"/>
        </w:rPr>
        <w:t xml:space="preserve"> </w:t>
      </w:r>
      <w:r w:rsidR="003B0A80" w:rsidRPr="00F4174C">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AuthorYear="1"&gt;&lt;Author&gt;Hassan&lt;/Author&gt;&lt;Year&gt;2017&lt;/Year&gt;&lt;RecNum&gt;18&lt;/RecNum&gt;&lt;DisplayText&gt;Hassan and Dantama [30]&lt;/DisplayText&gt;&lt;record&gt;&lt;rec-number&gt;18&lt;/rec-number&gt;&lt;foreign-keys&gt;&lt;key app="EN" db-id="w02dva9072e097ez0eov2pwr9fvdzpzav5te"&gt;18&lt;/key&gt;&lt;/foreign-keys&gt;&lt;ref-type name="Journal Article"&gt;17&lt;/ref-type&gt;&lt;contributors&gt;&lt;authors&gt;&lt;author&gt;Hassan, Adamu&lt;/author&gt;&lt;author&gt;Dantama, Yusuf Umar&lt;/author&gt;&lt;/authors&gt;&lt;/contributors&gt;&lt;titles&gt;&lt;title&gt;Determinants of exchange rate volatility: New estimates from Nigeria&lt;/title&gt;&lt;secondary-title&gt;Eastern Journal of Economics and Finance&lt;/secondary-title&gt;&lt;/titles&gt;&lt;pages&gt;1-12&lt;/pages&gt;&lt;volume&gt;3&lt;/volume&gt;&lt;number&gt;1&lt;/number&gt;&lt;dates&gt;&lt;year&gt;2017&lt;/year&gt;&lt;/dates&gt;&lt;urls&gt;&lt;/urls&gt;&lt;electronic-resource-num&gt;https://doi.org/10.20448/809.3.1.1.12&lt;/electronic-resource-num&gt;&lt;/record&gt;&lt;/Cite&gt;&lt;/EndNote&gt;</w:instrText>
      </w:r>
      <w:r w:rsidR="003B0A80" w:rsidRPr="00F4174C">
        <w:rPr>
          <w:color w:val="0000CC"/>
          <w:sz w:val="20"/>
          <w:szCs w:val="20"/>
          <w:shd w:val="clear" w:color="auto" w:fill="FFFFFF"/>
        </w:rPr>
        <w:fldChar w:fldCharType="separate"/>
      </w:r>
      <w:hyperlink w:anchor="_ENREF_30" w:tooltip="Hassan, 2017 #18" w:history="1">
        <w:r w:rsidR="00AF2A4C">
          <w:rPr>
            <w:noProof/>
            <w:color w:val="0000CC"/>
            <w:sz w:val="20"/>
            <w:szCs w:val="20"/>
            <w:shd w:val="clear" w:color="auto" w:fill="FFFFFF"/>
          </w:rPr>
          <w:t>Hassan and Dantama [30</w:t>
        </w:r>
      </w:hyperlink>
      <w:r w:rsidR="003B0A80">
        <w:rPr>
          <w:noProof/>
          <w:color w:val="0000CC"/>
          <w:sz w:val="20"/>
          <w:szCs w:val="20"/>
          <w:shd w:val="clear" w:color="auto" w:fill="FFFFFF"/>
        </w:rPr>
        <w:t>]</w:t>
      </w:r>
      <w:r w:rsidR="003B0A80" w:rsidRPr="00F4174C">
        <w:rPr>
          <w:color w:val="0000CC"/>
          <w:sz w:val="20"/>
          <w:szCs w:val="20"/>
          <w:shd w:val="clear" w:color="auto" w:fill="FFFFFF"/>
        </w:rPr>
        <w:fldChar w:fldCharType="end"/>
      </w:r>
      <w:r w:rsidR="00BE395C">
        <w:rPr>
          <w:sz w:val="20"/>
          <w:szCs w:val="20"/>
          <w:shd w:val="clear" w:color="auto" w:fill="FFFFFF"/>
        </w:rPr>
        <w:t>;</w:t>
      </w:r>
      <w:r w:rsidRPr="004B7B66">
        <w:rPr>
          <w:sz w:val="20"/>
          <w:szCs w:val="20"/>
          <w:shd w:val="clear" w:color="auto" w:fill="FFFFFF"/>
        </w:rPr>
        <w:t xml:space="preserve"> </w:t>
      </w:r>
      <w:r w:rsidR="00BE395C" w:rsidRPr="00F4174C">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AuthorYear="1"&gt;&lt;Author&gt;Kilicarslan&lt;/Author&gt;&lt;Year&gt;2018&lt;/Year&gt;&lt;RecNum&gt;23&lt;/RecNum&gt;&lt;DisplayText&gt;Kilicarslan [12]&lt;/DisplayText&gt;&lt;record&gt;&lt;rec-number&gt;23&lt;/rec-number&gt;&lt;foreign-keys&gt;&lt;key app="EN" db-id="w02dva9072e097ez0eov2pwr9fvdzpzav5te"&gt;23&lt;/key&gt;&lt;/foreign-keys&gt;&lt;ref-type name="Journal Article"&gt;17&lt;/ref-type&gt;&lt;contributors&gt;&lt;authors&gt;&lt;author&gt;Kilicarslan, Zerrin&lt;/author&gt;&lt;/authors&gt;&lt;/contributors&gt;&lt;titles&gt;&lt;title&gt;Determinants of exchange rate volatility: Empirical evidence for Turkey&lt;/title&gt;&lt;secondary-title&gt;Journal of Economics Finance and Accounting&lt;/secondary-title&gt;&lt;/titles&gt;&lt;pages&gt;204-213&lt;/pages&gt;&lt;volume&gt;5&lt;/volume&gt;&lt;number&gt;2&lt;/number&gt;&lt;dates&gt;&lt;year&gt;2018&lt;/year&gt;&lt;/dates&gt;&lt;urls&gt;&lt;/urls&gt;&lt;electronic-resource-num&gt;https://doi.org/10.17261/pressacademia.2018.825&lt;/electronic-resource-num&gt;&lt;/record&gt;&lt;/Cite&gt;&lt;/EndNote&gt;</w:instrText>
      </w:r>
      <w:r w:rsidR="00BE395C" w:rsidRPr="00F4174C">
        <w:rPr>
          <w:color w:val="0000CC"/>
          <w:sz w:val="20"/>
          <w:szCs w:val="20"/>
          <w:shd w:val="clear" w:color="auto" w:fill="FFFFFF"/>
        </w:rPr>
        <w:fldChar w:fldCharType="separate"/>
      </w:r>
      <w:hyperlink w:anchor="_ENREF_12" w:tooltip="Kilicarslan, 2018 #23" w:history="1">
        <w:r w:rsidR="00AF2A4C">
          <w:rPr>
            <w:noProof/>
            <w:color w:val="0000CC"/>
            <w:sz w:val="20"/>
            <w:szCs w:val="20"/>
            <w:shd w:val="clear" w:color="auto" w:fill="FFFFFF"/>
          </w:rPr>
          <w:t>Kilicarslan [12</w:t>
        </w:r>
      </w:hyperlink>
      <w:r w:rsidR="00BE395C">
        <w:rPr>
          <w:noProof/>
          <w:color w:val="0000CC"/>
          <w:sz w:val="20"/>
          <w:szCs w:val="20"/>
          <w:shd w:val="clear" w:color="auto" w:fill="FFFFFF"/>
        </w:rPr>
        <w:t>]</w:t>
      </w:r>
      <w:r w:rsidR="00BE395C" w:rsidRPr="00F4174C">
        <w:rPr>
          <w:color w:val="0000CC"/>
          <w:sz w:val="20"/>
          <w:szCs w:val="20"/>
          <w:shd w:val="clear" w:color="auto" w:fill="FFFFFF"/>
        </w:rPr>
        <w:fldChar w:fldCharType="end"/>
      </w:r>
      <w:r w:rsidRPr="004B7B66">
        <w:rPr>
          <w:sz w:val="20"/>
          <w:szCs w:val="20"/>
          <w:shd w:val="clear" w:color="auto" w:fill="FFFFFF"/>
        </w:rPr>
        <w:t xml:space="preserve"> that money supply has a positive relationship with domestic currency volatility. </w:t>
      </w:r>
    </w:p>
    <w:p w14:paraId="67FB31D7" w14:textId="0ECEDCCD" w:rsidR="000854E4" w:rsidRPr="004B7B66" w:rsidRDefault="000854E4" w:rsidP="007C6DEB">
      <w:pPr>
        <w:pStyle w:val="BodyText2"/>
        <w:spacing w:after="0" w:line="240" w:lineRule="auto"/>
        <w:ind w:firstLine="360"/>
        <w:jc w:val="both"/>
        <w:rPr>
          <w:sz w:val="20"/>
          <w:szCs w:val="20"/>
          <w:shd w:val="clear" w:color="auto" w:fill="FFFFFF"/>
        </w:rPr>
      </w:pPr>
      <w:r w:rsidRPr="004B7B66">
        <w:rPr>
          <w:sz w:val="20"/>
          <w:szCs w:val="20"/>
          <w:shd w:val="clear" w:color="auto" w:fill="FFFFFF"/>
        </w:rPr>
        <w:t xml:space="preserve">The credit gap was also analysed and a contrast effect was found on IDR volatility. Credit gap has a positive and significant effect on IDR-USD, </w:t>
      </w:r>
      <w:r w:rsidRPr="004B7B66">
        <w:rPr>
          <w:sz w:val="20"/>
          <w:szCs w:val="20"/>
        </w:rPr>
        <w:t>IDR-GBP, and IDR-EURO</w:t>
      </w:r>
      <w:r w:rsidRPr="004B7B66">
        <w:rPr>
          <w:sz w:val="20"/>
          <w:szCs w:val="20"/>
          <w:shd w:val="clear" w:color="auto" w:fill="FFFFFF"/>
        </w:rPr>
        <w:t xml:space="preserve"> volatilities but has a positive insignificant for models </w:t>
      </w:r>
      <w:r w:rsidRPr="004B7B66">
        <w:rPr>
          <w:sz w:val="20"/>
          <w:szCs w:val="20"/>
        </w:rPr>
        <w:t xml:space="preserve">IDR-SGD and IDR-AUD </w:t>
      </w:r>
      <w:r w:rsidRPr="004B7B66">
        <w:rPr>
          <w:sz w:val="20"/>
          <w:szCs w:val="20"/>
          <w:shd w:val="clear" w:color="auto" w:fill="FFFFFF"/>
        </w:rPr>
        <w:t xml:space="preserve">volatilities. A positive influence was observed with coefficients of 0.0695, 0.0520 and 0.0471 with </w:t>
      </w:r>
      <w:r w:rsidR="000A053A">
        <w:rPr>
          <w:sz w:val="20"/>
          <w:szCs w:val="20"/>
          <w:shd w:val="clear" w:color="auto" w:fill="FFFFFF"/>
        </w:rPr>
        <w:t xml:space="preserve">a </w:t>
      </w:r>
      <w:r w:rsidRPr="004B7B66">
        <w:rPr>
          <w:sz w:val="20"/>
          <w:szCs w:val="20"/>
          <w:shd w:val="clear" w:color="auto" w:fill="FFFFFF"/>
        </w:rPr>
        <w:t xml:space="preserve">1% </w:t>
      </w:r>
      <w:r w:rsidRPr="004B7B66">
        <w:rPr>
          <w:sz w:val="20"/>
          <w:szCs w:val="20"/>
          <w:shd w:val="clear" w:color="auto" w:fill="FFFFFF"/>
        </w:rPr>
        <w:lastRenderedPageBreak/>
        <w:t xml:space="preserve">level of significance for models IDR-USD, </w:t>
      </w:r>
      <w:r w:rsidRPr="004B7B66">
        <w:rPr>
          <w:sz w:val="20"/>
          <w:szCs w:val="20"/>
        </w:rPr>
        <w:t>IDR-GBP, and IDR-EURO</w:t>
      </w:r>
      <w:r w:rsidRPr="004B7B66">
        <w:rPr>
          <w:sz w:val="20"/>
          <w:szCs w:val="20"/>
          <w:shd w:val="clear" w:color="auto" w:fill="FFFFFF"/>
        </w:rPr>
        <w:t xml:space="preserve"> volatilities, respectively. This was observed to have supported </w:t>
      </w:r>
      <w:r w:rsidR="00577F96" w:rsidRPr="00AB00D7">
        <w:rPr>
          <w:color w:val="0000CC"/>
          <w:sz w:val="20"/>
          <w:szCs w:val="20"/>
          <w:shd w:val="clear" w:color="auto" w:fill="FFFFFF"/>
        </w:rPr>
        <w:fldChar w:fldCharType="begin"/>
      </w:r>
      <w:r w:rsidR="00AF2A4C">
        <w:rPr>
          <w:color w:val="0000CC"/>
          <w:sz w:val="20"/>
          <w:szCs w:val="20"/>
          <w:shd w:val="clear" w:color="auto" w:fill="FFFFFF"/>
        </w:rPr>
        <w:instrText xml:space="preserve"> ADDIN EN.CITE &lt;EndNote&gt;&lt;Cite AuthorYear="1"&gt;&lt;Author&gt;Mirchandani&lt;/Author&gt;&lt;Year&gt;2013&lt;/Year&gt;&lt;RecNum&gt;27&lt;/RecNum&gt;&lt;DisplayText&gt;Mirchandani [29]&lt;/DisplayText&gt;&lt;record&gt;&lt;rec-number&gt;27&lt;/rec-number&gt;&lt;foreign-keys&gt;&lt;key app="EN" db-id="w02dva9072e097ez0eov2pwr9fvdzpzav5te"&gt;27&lt;/key&gt;&lt;/foreign-keys&gt;&lt;ref-type name="Journal Article"&gt;17&lt;/ref-type&gt;&lt;contributors&gt;&lt;authors&gt;&lt;author&gt;Mirchandani, Anita&lt;/author&gt;&lt;/authors&gt;&lt;/contributors&gt;&lt;titles&gt;&lt;title&gt;Analysis of macroeconomic determinants of exchange rate volatility in India&lt;/title&gt;&lt;secondary-title&gt;International Journal of Economics and Financial Issues&lt;/secondary-title&gt;&lt;/titles&gt;&lt;pages&gt;172-179&lt;/pages&gt;&lt;volume&gt;3&lt;/volume&gt;&lt;number&gt;1&lt;/number&gt;&lt;dates&gt;&lt;year&gt;2013&lt;/year&gt;&lt;/dates&gt;&lt;urls&gt;&lt;/urls&gt;&lt;/record&gt;&lt;/Cite&gt;&lt;/EndNote&gt;</w:instrText>
      </w:r>
      <w:r w:rsidR="00577F96" w:rsidRPr="00AB00D7">
        <w:rPr>
          <w:color w:val="0000CC"/>
          <w:sz w:val="20"/>
          <w:szCs w:val="20"/>
          <w:shd w:val="clear" w:color="auto" w:fill="FFFFFF"/>
        </w:rPr>
        <w:fldChar w:fldCharType="separate"/>
      </w:r>
      <w:hyperlink w:anchor="_ENREF_29" w:tooltip="Mirchandani, 2013 #27" w:history="1">
        <w:r w:rsidR="00AF2A4C">
          <w:rPr>
            <w:noProof/>
            <w:color w:val="0000CC"/>
            <w:sz w:val="20"/>
            <w:szCs w:val="20"/>
            <w:shd w:val="clear" w:color="auto" w:fill="FFFFFF"/>
          </w:rPr>
          <w:t>Mirchandani [29</w:t>
        </w:r>
      </w:hyperlink>
      <w:r w:rsidR="00577F96">
        <w:rPr>
          <w:noProof/>
          <w:color w:val="0000CC"/>
          <w:sz w:val="20"/>
          <w:szCs w:val="20"/>
          <w:shd w:val="clear" w:color="auto" w:fill="FFFFFF"/>
        </w:rPr>
        <w:t>]</w:t>
      </w:r>
      <w:r w:rsidR="00577F96" w:rsidRPr="00AB00D7">
        <w:rPr>
          <w:color w:val="0000CC"/>
          <w:sz w:val="20"/>
          <w:szCs w:val="20"/>
          <w:shd w:val="clear" w:color="auto" w:fill="FFFFFF"/>
        </w:rPr>
        <w:fldChar w:fldCharType="end"/>
      </w:r>
      <w:r w:rsidRPr="004B7B66">
        <w:rPr>
          <w:sz w:val="20"/>
          <w:szCs w:val="20"/>
          <w:shd w:val="clear" w:color="auto" w:fill="FFFFFF"/>
        </w:rPr>
        <w:t xml:space="preserve"> with the positive effect discovered to be due to the ability of an increase in credit to lower demand for capital inflow from overseas or foreign direct investment (FDI), thereby enhancing the exchange rate volatility.</w:t>
      </w:r>
    </w:p>
    <w:p w14:paraId="2AB40529" w14:textId="3A65D197" w:rsidR="000854E4" w:rsidRPr="004B7B66" w:rsidRDefault="000854E4" w:rsidP="007C6DEB">
      <w:pPr>
        <w:autoSpaceDE w:val="0"/>
        <w:autoSpaceDN w:val="0"/>
        <w:adjustRightInd w:val="0"/>
        <w:spacing w:after="0" w:line="240" w:lineRule="auto"/>
        <w:ind w:firstLine="360"/>
        <w:jc w:val="both"/>
        <w:rPr>
          <w:rFonts w:ascii="Times New Roman" w:hAnsi="Times New Roman" w:cs="Times New Roman"/>
          <w:sz w:val="20"/>
          <w:szCs w:val="20"/>
        </w:rPr>
      </w:pPr>
      <w:r w:rsidRPr="004B7B66">
        <w:rPr>
          <w:rFonts w:ascii="Times New Roman" w:hAnsi="Times New Roman" w:cs="Times New Roman"/>
          <w:sz w:val="20"/>
          <w:szCs w:val="20"/>
        </w:rPr>
        <w:t xml:space="preserve">The focus on the short-run coefficients showed the central bank rate has a significant influence on </w:t>
      </w:r>
      <w:r w:rsidRPr="004B7B66">
        <w:rPr>
          <w:rFonts w:ascii="Times New Roman" w:hAnsi="Times New Roman" w:cs="Times New Roman"/>
          <w:sz w:val="20"/>
          <w:szCs w:val="20"/>
          <w:shd w:val="clear" w:color="auto" w:fill="FFFFFF"/>
        </w:rPr>
        <w:t>the volatility of the exchange rate</w:t>
      </w:r>
      <w:r w:rsidRPr="004B7B66">
        <w:rPr>
          <w:rFonts w:ascii="Times New Roman" w:hAnsi="Times New Roman" w:cs="Times New Roman"/>
          <w:sz w:val="20"/>
          <w:szCs w:val="20"/>
        </w:rPr>
        <w:t xml:space="preserve"> with a positive sign in the models of </w:t>
      </w:r>
      <w:r w:rsidRPr="004B7B66">
        <w:rPr>
          <w:rFonts w:ascii="Times New Roman" w:hAnsi="Times New Roman" w:cs="Times New Roman"/>
          <w:sz w:val="20"/>
          <w:szCs w:val="20"/>
          <w:shd w:val="clear" w:color="auto" w:fill="FFFFFF"/>
        </w:rPr>
        <w:t xml:space="preserve">IDR-USD, IDR-AUD, </w:t>
      </w:r>
      <w:r w:rsidRPr="004B7B66">
        <w:rPr>
          <w:rFonts w:ascii="Times New Roman" w:hAnsi="Times New Roman" w:cs="Times New Roman"/>
          <w:sz w:val="20"/>
          <w:szCs w:val="20"/>
        </w:rPr>
        <w:t>IDR-GBP, and IDR-EURO</w:t>
      </w:r>
      <w:r w:rsidRPr="004B7B66">
        <w:rPr>
          <w:rFonts w:ascii="Times New Roman" w:hAnsi="Times New Roman" w:cs="Times New Roman"/>
          <w:sz w:val="20"/>
          <w:szCs w:val="20"/>
          <w:shd w:val="clear" w:color="auto" w:fill="FFFFFF"/>
        </w:rPr>
        <w:t xml:space="preserve"> volatilities</w:t>
      </w:r>
      <w:r w:rsidRPr="004B7B66">
        <w:rPr>
          <w:rFonts w:ascii="Times New Roman" w:hAnsi="Times New Roman" w:cs="Times New Roman"/>
          <w:sz w:val="20"/>
          <w:szCs w:val="20"/>
        </w:rPr>
        <w:t xml:space="preserve"> and coefficient</w:t>
      </w:r>
      <w:r w:rsidR="00B700F4">
        <w:rPr>
          <w:rFonts w:ascii="Times New Roman" w:hAnsi="Times New Roman" w:cs="Times New Roman"/>
          <w:sz w:val="20"/>
          <w:szCs w:val="20"/>
        </w:rPr>
        <w:t>s</w:t>
      </w:r>
      <w:r w:rsidRPr="004B7B66">
        <w:rPr>
          <w:rFonts w:ascii="Times New Roman" w:hAnsi="Times New Roman" w:cs="Times New Roman"/>
          <w:sz w:val="20"/>
          <w:szCs w:val="20"/>
        </w:rPr>
        <w:t xml:space="preserve"> ranging from 1.1179 to 1.4704. These results mean that an increase in </w:t>
      </w:r>
      <w:r w:rsidR="00B700F4">
        <w:rPr>
          <w:rFonts w:ascii="Times New Roman" w:hAnsi="Times New Roman" w:cs="Times New Roman"/>
          <w:sz w:val="20"/>
          <w:szCs w:val="20"/>
        </w:rPr>
        <w:t xml:space="preserve">the </w:t>
      </w:r>
      <w:r w:rsidRPr="004B7B66">
        <w:rPr>
          <w:rFonts w:ascii="Times New Roman" w:hAnsi="Times New Roman" w:cs="Times New Roman"/>
          <w:sz w:val="20"/>
          <w:szCs w:val="20"/>
        </w:rPr>
        <w:t xml:space="preserve">central bank rate leads to a decrease in </w:t>
      </w:r>
      <w:r w:rsidR="00AE0777">
        <w:rPr>
          <w:rFonts w:ascii="Times New Roman" w:hAnsi="Times New Roman" w:cs="Times New Roman"/>
          <w:sz w:val="20"/>
          <w:szCs w:val="20"/>
        </w:rPr>
        <w:t xml:space="preserve">the </w:t>
      </w:r>
      <w:r w:rsidRPr="004B7B66">
        <w:rPr>
          <w:rFonts w:ascii="Times New Roman" w:hAnsi="Times New Roman" w:cs="Times New Roman"/>
          <w:sz w:val="20"/>
          <w:szCs w:val="20"/>
        </w:rPr>
        <w:t xml:space="preserve">volatility </w:t>
      </w:r>
      <w:r w:rsidR="00AE0777">
        <w:rPr>
          <w:rFonts w:ascii="Times New Roman" w:hAnsi="Times New Roman" w:cs="Times New Roman"/>
          <w:sz w:val="20"/>
          <w:szCs w:val="20"/>
        </w:rPr>
        <w:t xml:space="preserve">of the </w:t>
      </w:r>
      <w:r w:rsidRPr="004B7B66">
        <w:rPr>
          <w:rFonts w:ascii="Times New Roman" w:hAnsi="Times New Roman" w:cs="Times New Roman"/>
          <w:sz w:val="20"/>
          <w:szCs w:val="20"/>
        </w:rPr>
        <w:t xml:space="preserve">exchange rate.  However, </w:t>
      </w:r>
      <w:r w:rsidR="00AE0777">
        <w:rPr>
          <w:rFonts w:ascii="Times New Roman" w:hAnsi="Times New Roman" w:cs="Times New Roman"/>
          <w:sz w:val="20"/>
          <w:szCs w:val="20"/>
        </w:rPr>
        <w:t xml:space="preserve">the </w:t>
      </w:r>
      <w:r w:rsidRPr="004B7B66">
        <w:rPr>
          <w:rFonts w:ascii="Times New Roman" w:hAnsi="Times New Roman" w:cs="Times New Roman"/>
          <w:sz w:val="20"/>
          <w:szCs w:val="20"/>
        </w:rPr>
        <w:t xml:space="preserve">central bank rate has no significant effect </w:t>
      </w:r>
      <w:r w:rsidR="00AE0777">
        <w:rPr>
          <w:rFonts w:ascii="Times New Roman" w:hAnsi="Times New Roman" w:cs="Times New Roman"/>
          <w:sz w:val="20"/>
          <w:szCs w:val="20"/>
        </w:rPr>
        <w:t>on</w:t>
      </w:r>
      <w:r w:rsidRPr="004B7B66">
        <w:rPr>
          <w:rFonts w:ascii="Times New Roman" w:hAnsi="Times New Roman" w:cs="Times New Roman"/>
          <w:sz w:val="20"/>
          <w:szCs w:val="20"/>
        </w:rPr>
        <w:t xml:space="preserve"> IDR-SGD volatility.</w:t>
      </w:r>
      <w:r w:rsidR="00AE0777">
        <w:rPr>
          <w:rFonts w:ascii="Times New Roman" w:hAnsi="Times New Roman" w:cs="Times New Roman"/>
          <w:sz w:val="20"/>
          <w:szCs w:val="20"/>
        </w:rPr>
        <w:t xml:space="preserve"> </w:t>
      </w:r>
      <w:r w:rsidRPr="004B7B66">
        <w:rPr>
          <w:rFonts w:ascii="Times New Roman" w:hAnsi="Times New Roman" w:cs="Times New Roman"/>
          <w:sz w:val="20"/>
          <w:szCs w:val="20"/>
        </w:rPr>
        <w:t xml:space="preserve">The results of this study also showed that there are no significant effects of output gap and money per GDP on IDR volatility in the short run. Credit gap also has a positive and significant effect on IDR volatility only for models of </w:t>
      </w:r>
      <w:r w:rsidRPr="004B7B66">
        <w:rPr>
          <w:rFonts w:ascii="Times New Roman" w:hAnsi="Times New Roman" w:cs="Times New Roman"/>
          <w:sz w:val="20"/>
          <w:szCs w:val="20"/>
          <w:shd w:val="clear" w:color="auto" w:fill="FFFFFF"/>
        </w:rPr>
        <w:t xml:space="preserve">IDR-USD, IDR-AUD, </w:t>
      </w:r>
      <w:r w:rsidRPr="004B7B66">
        <w:rPr>
          <w:rFonts w:ascii="Times New Roman" w:hAnsi="Times New Roman" w:cs="Times New Roman"/>
          <w:sz w:val="20"/>
          <w:szCs w:val="20"/>
        </w:rPr>
        <w:t>and IDR-EURO</w:t>
      </w:r>
      <w:r w:rsidRPr="004B7B66">
        <w:rPr>
          <w:rFonts w:ascii="Times New Roman" w:hAnsi="Times New Roman" w:cs="Times New Roman"/>
          <w:sz w:val="20"/>
          <w:szCs w:val="20"/>
          <w:shd w:val="clear" w:color="auto" w:fill="FFFFFF"/>
        </w:rPr>
        <w:t xml:space="preserve"> volatilities</w:t>
      </w:r>
      <w:r w:rsidR="00FC4A9A">
        <w:rPr>
          <w:rFonts w:ascii="Times New Roman" w:hAnsi="Times New Roman" w:cs="Times New Roman"/>
          <w:sz w:val="20"/>
          <w:szCs w:val="20"/>
          <w:shd w:val="clear" w:color="auto" w:fill="FFFFFF"/>
        </w:rPr>
        <w:t>.</w:t>
      </w:r>
    </w:p>
    <w:p w14:paraId="5736B9A1" w14:textId="627F2AEC" w:rsidR="000854E4" w:rsidRPr="004B7B66" w:rsidRDefault="000854E4" w:rsidP="007C6DEB">
      <w:pPr>
        <w:autoSpaceDE w:val="0"/>
        <w:autoSpaceDN w:val="0"/>
        <w:adjustRightInd w:val="0"/>
        <w:spacing w:after="0" w:line="240" w:lineRule="auto"/>
        <w:ind w:firstLine="360"/>
        <w:jc w:val="both"/>
        <w:rPr>
          <w:rFonts w:ascii="Times New Roman" w:hAnsi="Times New Roman" w:cs="Times New Roman"/>
          <w:sz w:val="20"/>
          <w:szCs w:val="20"/>
        </w:rPr>
      </w:pPr>
      <w:r w:rsidRPr="004B7B66">
        <w:rPr>
          <w:rFonts w:ascii="Times New Roman" w:hAnsi="Times New Roman" w:cs="Times New Roman"/>
          <w:sz w:val="20"/>
          <w:szCs w:val="20"/>
        </w:rPr>
        <w:t>The short-run money per GDP was found to have a negative and significant effect in model</w:t>
      </w:r>
      <w:r w:rsidR="00E866B7">
        <w:rPr>
          <w:rFonts w:ascii="Times New Roman" w:hAnsi="Times New Roman" w:cs="Times New Roman"/>
          <w:sz w:val="20"/>
          <w:szCs w:val="20"/>
        </w:rPr>
        <w:t>s</w:t>
      </w:r>
      <w:r w:rsidRPr="004B7B66">
        <w:rPr>
          <w:rFonts w:ascii="Times New Roman" w:hAnsi="Times New Roman" w:cs="Times New Roman"/>
          <w:sz w:val="20"/>
          <w:szCs w:val="20"/>
        </w:rPr>
        <w:t xml:space="preserve"> 1 and 2. However, no significant effect of economic growth, inflation, credit gap, and foreign reserve was found on the volatility exchange rate for all the models in the short</w:t>
      </w:r>
      <w:r w:rsidR="00E866B7">
        <w:rPr>
          <w:rFonts w:ascii="Times New Roman" w:hAnsi="Times New Roman" w:cs="Times New Roman"/>
          <w:sz w:val="20"/>
          <w:szCs w:val="20"/>
        </w:rPr>
        <w:t xml:space="preserve"> </w:t>
      </w:r>
      <w:r w:rsidRPr="004B7B66">
        <w:rPr>
          <w:rFonts w:ascii="Times New Roman" w:hAnsi="Times New Roman" w:cs="Times New Roman"/>
          <w:sz w:val="20"/>
          <w:szCs w:val="20"/>
        </w:rPr>
        <w:t>run.</w:t>
      </w:r>
    </w:p>
    <w:p w14:paraId="40E29C13" w14:textId="508A506E" w:rsidR="004B7B66" w:rsidRPr="004B7B66" w:rsidRDefault="004B7B66" w:rsidP="004B7B66">
      <w:pPr>
        <w:autoSpaceDE w:val="0"/>
        <w:autoSpaceDN w:val="0"/>
        <w:adjustRightInd w:val="0"/>
        <w:spacing w:after="0" w:line="240" w:lineRule="auto"/>
        <w:jc w:val="both"/>
        <w:rPr>
          <w:rFonts w:ascii="Times New Roman" w:hAnsi="Times New Roman" w:cs="Times New Roman"/>
          <w:sz w:val="20"/>
          <w:szCs w:val="20"/>
        </w:rPr>
      </w:pPr>
    </w:p>
    <w:p w14:paraId="59A434F0" w14:textId="7D1D2CB1" w:rsidR="004B7B66" w:rsidRPr="007C6DEB" w:rsidRDefault="007C6DEB" w:rsidP="007C6DEB">
      <w:pPr>
        <w:autoSpaceDE w:val="0"/>
        <w:autoSpaceDN w:val="0"/>
        <w:adjustRightInd w:val="0"/>
        <w:spacing w:after="0" w:line="240" w:lineRule="auto"/>
        <w:jc w:val="both"/>
        <w:rPr>
          <w:rFonts w:ascii="Times New Roman" w:hAnsi="Times New Roman" w:cs="Times New Roman"/>
          <w:bCs/>
          <w:i/>
          <w:iCs/>
          <w:sz w:val="20"/>
          <w:szCs w:val="20"/>
        </w:rPr>
      </w:pPr>
      <w:r w:rsidRPr="007C6DEB">
        <w:rPr>
          <w:rFonts w:ascii="Times New Roman" w:hAnsi="Times New Roman" w:cs="Times New Roman"/>
          <w:bCs/>
          <w:i/>
          <w:iCs/>
          <w:sz w:val="20"/>
          <w:szCs w:val="20"/>
        </w:rPr>
        <w:t xml:space="preserve">4.4. </w:t>
      </w:r>
      <w:r w:rsidR="004B7B66" w:rsidRPr="007C6DEB">
        <w:rPr>
          <w:rFonts w:ascii="Times New Roman" w:hAnsi="Times New Roman" w:cs="Times New Roman"/>
          <w:bCs/>
          <w:i/>
          <w:iCs/>
          <w:sz w:val="20"/>
          <w:szCs w:val="20"/>
        </w:rPr>
        <w:t>Diagnostic Checks</w:t>
      </w:r>
    </w:p>
    <w:p w14:paraId="0B8FAE96" w14:textId="77777777" w:rsidR="004B7B66" w:rsidRPr="004B7B66" w:rsidRDefault="004B7B66" w:rsidP="004B7B66">
      <w:pPr>
        <w:pStyle w:val="ListParagraph"/>
        <w:autoSpaceDE w:val="0"/>
        <w:autoSpaceDN w:val="0"/>
        <w:adjustRightInd w:val="0"/>
        <w:spacing w:after="0" w:line="240" w:lineRule="auto"/>
        <w:ind w:left="0" w:firstLine="284"/>
        <w:jc w:val="both"/>
        <w:rPr>
          <w:rFonts w:ascii="Times New Roman" w:hAnsi="Times New Roman" w:cs="Times New Roman"/>
          <w:sz w:val="20"/>
          <w:szCs w:val="20"/>
        </w:rPr>
      </w:pPr>
      <w:r w:rsidRPr="004B7B66">
        <w:rPr>
          <w:rFonts w:ascii="Times New Roman" w:hAnsi="Times New Roman" w:cs="Times New Roman"/>
          <w:sz w:val="20"/>
          <w:szCs w:val="20"/>
        </w:rPr>
        <w:t>In this step, diagnostic tests were applied including Heteroscedasticity test, autocorrelation test, Normality test and functional test.  Furthermore, the tests of cumulative sum of recursive residuals (CUSUM) and the cumulative sum of squares of recursive residuals (CUSUMSQ) were carried out to check the stability of long-run coefficients and short-run dynamics.</w:t>
      </w:r>
    </w:p>
    <w:p w14:paraId="3B39763B" w14:textId="77777777" w:rsidR="007C6DEB" w:rsidRDefault="007C6DEB" w:rsidP="004B7B66">
      <w:pPr>
        <w:pStyle w:val="ListParagraph"/>
        <w:autoSpaceDE w:val="0"/>
        <w:autoSpaceDN w:val="0"/>
        <w:adjustRightInd w:val="0"/>
        <w:spacing w:after="0" w:line="240" w:lineRule="auto"/>
        <w:ind w:left="0"/>
        <w:jc w:val="both"/>
        <w:rPr>
          <w:rFonts w:ascii="Times New Roman" w:eastAsia="Palatino Linotype" w:hAnsi="Times New Roman" w:cs="Times New Roman"/>
          <w:b/>
          <w:bCs/>
          <w:sz w:val="20"/>
          <w:szCs w:val="20"/>
        </w:rPr>
      </w:pPr>
    </w:p>
    <w:p w14:paraId="1F523AE3" w14:textId="3ED43CDB" w:rsidR="007C6DEB" w:rsidRPr="007C6DEB" w:rsidRDefault="004B7B66" w:rsidP="00E173E8">
      <w:pPr>
        <w:pStyle w:val="ListParagraph"/>
        <w:autoSpaceDE w:val="0"/>
        <w:autoSpaceDN w:val="0"/>
        <w:adjustRightInd w:val="0"/>
        <w:spacing w:after="0" w:line="240" w:lineRule="auto"/>
        <w:ind w:left="180"/>
        <w:jc w:val="both"/>
        <w:rPr>
          <w:rFonts w:ascii="Times New Roman" w:eastAsia="Palatino Linotype" w:hAnsi="Times New Roman" w:cs="Times New Roman"/>
          <w:b/>
          <w:bCs/>
          <w:sz w:val="16"/>
          <w:szCs w:val="20"/>
        </w:rPr>
      </w:pPr>
      <w:bookmarkStart w:id="14" w:name="Table4"/>
      <w:r w:rsidRPr="007C6DEB">
        <w:rPr>
          <w:rFonts w:ascii="Times New Roman" w:eastAsia="Palatino Linotype" w:hAnsi="Times New Roman" w:cs="Times New Roman"/>
          <w:b/>
          <w:bCs/>
          <w:sz w:val="16"/>
          <w:szCs w:val="20"/>
        </w:rPr>
        <w:t xml:space="preserve">Table </w:t>
      </w:r>
      <w:r w:rsidR="001D4F79">
        <w:rPr>
          <w:rFonts w:ascii="Times New Roman" w:eastAsia="Palatino Linotype" w:hAnsi="Times New Roman" w:cs="Times New Roman"/>
          <w:b/>
          <w:bCs/>
          <w:sz w:val="16"/>
          <w:szCs w:val="20"/>
        </w:rPr>
        <w:t>4</w:t>
      </w:r>
      <w:bookmarkEnd w:id="14"/>
      <w:r w:rsidR="007C6DEB" w:rsidRPr="007C6DEB">
        <w:rPr>
          <w:rFonts w:ascii="Times New Roman" w:eastAsia="Palatino Linotype" w:hAnsi="Times New Roman" w:cs="Times New Roman"/>
          <w:b/>
          <w:bCs/>
          <w:sz w:val="16"/>
          <w:szCs w:val="20"/>
        </w:rPr>
        <w:t>.</w:t>
      </w:r>
    </w:p>
    <w:p w14:paraId="22296A57" w14:textId="664CF770" w:rsidR="004B7B66" w:rsidRPr="007C6DEB" w:rsidRDefault="004B7B66" w:rsidP="00E173E8">
      <w:pPr>
        <w:pStyle w:val="ListParagraph"/>
        <w:autoSpaceDE w:val="0"/>
        <w:autoSpaceDN w:val="0"/>
        <w:adjustRightInd w:val="0"/>
        <w:spacing w:after="0" w:line="240" w:lineRule="auto"/>
        <w:ind w:left="180"/>
        <w:jc w:val="both"/>
        <w:rPr>
          <w:rFonts w:ascii="Times New Roman" w:hAnsi="Times New Roman" w:cs="Times New Roman"/>
          <w:bCs/>
          <w:sz w:val="16"/>
          <w:szCs w:val="20"/>
        </w:rPr>
      </w:pPr>
      <w:r w:rsidRPr="007C6DEB">
        <w:rPr>
          <w:rFonts w:ascii="Times New Roman" w:eastAsia="Palatino Linotype" w:hAnsi="Times New Roman" w:cs="Times New Roman"/>
          <w:bCs/>
          <w:sz w:val="16"/>
          <w:szCs w:val="20"/>
        </w:rPr>
        <w:t xml:space="preserve">Diagnostic </w:t>
      </w:r>
      <w:r w:rsidR="005B660C">
        <w:rPr>
          <w:rFonts w:ascii="Times New Roman" w:eastAsia="Palatino Linotype" w:hAnsi="Times New Roman" w:cs="Times New Roman"/>
          <w:bCs/>
          <w:sz w:val="16"/>
          <w:szCs w:val="20"/>
        </w:rPr>
        <w:t>tests</w:t>
      </w:r>
    </w:p>
    <w:tbl>
      <w:tblPr>
        <w:tblStyle w:val="TableGrid"/>
        <w:tblW w:w="9687" w:type="dxa"/>
        <w:jc w:val="center"/>
        <w:tblBorders>
          <w:left w:val="none" w:sz="0" w:space="0" w:color="auto"/>
          <w:right w:val="none" w:sz="0" w:space="0" w:color="auto"/>
        </w:tblBorders>
        <w:tblLook w:val="04A0" w:firstRow="1" w:lastRow="0" w:firstColumn="1" w:lastColumn="0" w:noHBand="0" w:noVBand="1"/>
      </w:tblPr>
      <w:tblGrid>
        <w:gridCol w:w="1767"/>
        <w:gridCol w:w="1536"/>
        <w:gridCol w:w="1559"/>
        <w:gridCol w:w="1559"/>
        <w:gridCol w:w="1565"/>
        <w:gridCol w:w="1701"/>
      </w:tblGrid>
      <w:tr w:rsidR="004B7B66" w:rsidRPr="004B7B66" w14:paraId="0D635337" w14:textId="77777777" w:rsidTr="00E173E8">
        <w:trPr>
          <w:jc w:val="center"/>
        </w:trPr>
        <w:tc>
          <w:tcPr>
            <w:tcW w:w="1767" w:type="dxa"/>
          </w:tcPr>
          <w:p w14:paraId="29E147C6" w14:textId="77777777" w:rsidR="004B7B66" w:rsidRPr="007C6DEB" w:rsidRDefault="004B7B66" w:rsidP="004B7B66">
            <w:pPr>
              <w:autoSpaceDE w:val="0"/>
              <w:autoSpaceDN w:val="0"/>
              <w:adjustRightInd w:val="0"/>
              <w:jc w:val="both"/>
              <w:rPr>
                <w:rFonts w:ascii="Times New Roman" w:hAnsi="Times New Roman" w:cs="Times New Roman"/>
                <w:b/>
                <w:sz w:val="20"/>
                <w:szCs w:val="20"/>
              </w:rPr>
            </w:pPr>
            <w:r w:rsidRPr="007C6DEB">
              <w:rPr>
                <w:rFonts w:ascii="Times New Roman" w:hAnsi="Times New Roman" w:cs="Times New Roman"/>
                <w:b/>
                <w:sz w:val="20"/>
                <w:szCs w:val="20"/>
              </w:rPr>
              <w:t>Tests</w:t>
            </w:r>
          </w:p>
        </w:tc>
        <w:tc>
          <w:tcPr>
            <w:tcW w:w="1536" w:type="dxa"/>
          </w:tcPr>
          <w:p w14:paraId="428B4B4D" w14:textId="77777777" w:rsidR="004B7B66" w:rsidRPr="007C6DEB" w:rsidRDefault="004B7B66" w:rsidP="00F7705D">
            <w:pPr>
              <w:autoSpaceDE w:val="0"/>
              <w:autoSpaceDN w:val="0"/>
              <w:adjustRightInd w:val="0"/>
              <w:jc w:val="center"/>
              <w:rPr>
                <w:rFonts w:ascii="Times New Roman" w:hAnsi="Times New Roman" w:cs="Times New Roman"/>
                <w:b/>
                <w:sz w:val="20"/>
                <w:szCs w:val="20"/>
              </w:rPr>
            </w:pPr>
            <w:r w:rsidRPr="007C6DEB">
              <w:rPr>
                <w:rFonts w:ascii="Times New Roman" w:hAnsi="Times New Roman" w:cs="Times New Roman"/>
                <w:b/>
                <w:sz w:val="20"/>
                <w:szCs w:val="20"/>
              </w:rPr>
              <w:t>Model 1: IDR-USD Volatility</w:t>
            </w:r>
          </w:p>
        </w:tc>
        <w:tc>
          <w:tcPr>
            <w:tcW w:w="1559" w:type="dxa"/>
          </w:tcPr>
          <w:p w14:paraId="74D490AD" w14:textId="77777777" w:rsidR="004B7B66" w:rsidRPr="007C6DEB" w:rsidRDefault="004B7B66" w:rsidP="00F7705D">
            <w:pPr>
              <w:autoSpaceDE w:val="0"/>
              <w:autoSpaceDN w:val="0"/>
              <w:adjustRightInd w:val="0"/>
              <w:jc w:val="center"/>
              <w:rPr>
                <w:rFonts w:ascii="Times New Roman" w:hAnsi="Times New Roman" w:cs="Times New Roman"/>
                <w:b/>
                <w:sz w:val="20"/>
                <w:szCs w:val="20"/>
              </w:rPr>
            </w:pPr>
            <w:r w:rsidRPr="007C6DEB">
              <w:rPr>
                <w:rFonts w:ascii="Times New Roman" w:hAnsi="Times New Roman" w:cs="Times New Roman"/>
                <w:b/>
                <w:sz w:val="20"/>
                <w:szCs w:val="20"/>
              </w:rPr>
              <w:t>Model 2: IDR-SGD Volatility</w:t>
            </w:r>
          </w:p>
        </w:tc>
        <w:tc>
          <w:tcPr>
            <w:tcW w:w="1559" w:type="dxa"/>
          </w:tcPr>
          <w:p w14:paraId="19BF3689" w14:textId="77777777" w:rsidR="004B7B66" w:rsidRPr="007C6DEB" w:rsidRDefault="004B7B66" w:rsidP="00F7705D">
            <w:pPr>
              <w:autoSpaceDE w:val="0"/>
              <w:autoSpaceDN w:val="0"/>
              <w:adjustRightInd w:val="0"/>
              <w:jc w:val="center"/>
              <w:rPr>
                <w:rFonts w:ascii="Times New Roman" w:hAnsi="Times New Roman" w:cs="Times New Roman"/>
                <w:b/>
                <w:sz w:val="20"/>
                <w:szCs w:val="20"/>
              </w:rPr>
            </w:pPr>
            <w:r w:rsidRPr="007C6DEB">
              <w:rPr>
                <w:rFonts w:ascii="Times New Roman" w:hAnsi="Times New Roman" w:cs="Times New Roman"/>
                <w:b/>
                <w:sz w:val="20"/>
                <w:szCs w:val="20"/>
              </w:rPr>
              <w:t>Model 3: IDR-AUD Volatility</w:t>
            </w:r>
          </w:p>
        </w:tc>
        <w:tc>
          <w:tcPr>
            <w:tcW w:w="1565" w:type="dxa"/>
          </w:tcPr>
          <w:p w14:paraId="579BD8A5" w14:textId="77777777" w:rsidR="004B7B66" w:rsidRPr="007C6DEB" w:rsidRDefault="004B7B66" w:rsidP="00F7705D">
            <w:pPr>
              <w:autoSpaceDE w:val="0"/>
              <w:autoSpaceDN w:val="0"/>
              <w:adjustRightInd w:val="0"/>
              <w:jc w:val="center"/>
              <w:rPr>
                <w:rFonts w:ascii="Times New Roman" w:hAnsi="Times New Roman" w:cs="Times New Roman"/>
                <w:b/>
                <w:sz w:val="20"/>
                <w:szCs w:val="20"/>
              </w:rPr>
            </w:pPr>
            <w:r w:rsidRPr="007C6DEB">
              <w:rPr>
                <w:rFonts w:ascii="Times New Roman" w:hAnsi="Times New Roman" w:cs="Times New Roman"/>
                <w:b/>
                <w:sz w:val="20"/>
                <w:szCs w:val="20"/>
              </w:rPr>
              <w:t>Model 4: IDR-GBP Volatility</w:t>
            </w:r>
          </w:p>
        </w:tc>
        <w:tc>
          <w:tcPr>
            <w:tcW w:w="1701" w:type="dxa"/>
          </w:tcPr>
          <w:p w14:paraId="10D31899" w14:textId="77777777" w:rsidR="004B7B66" w:rsidRPr="007C6DEB" w:rsidRDefault="004B7B66" w:rsidP="00F7705D">
            <w:pPr>
              <w:autoSpaceDE w:val="0"/>
              <w:autoSpaceDN w:val="0"/>
              <w:adjustRightInd w:val="0"/>
              <w:jc w:val="center"/>
              <w:rPr>
                <w:rFonts w:ascii="Times New Roman" w:hAnsi="Times New Roman" w:cs="Times New Roman"/>
                <w:b/>
                <w:sz w:val="20"/>
                <w:szCs w:val="20"/>
              </w:rPr>
            </w:pPr>
            <w:r w:rsidRPr="007C6DEB">
              <w:rPr>
                <w:rFonts w:ascii="Times New Roman" w:hAnsi="Times New Roman" w:cs="Times New Roman"/>
                <w:b/>
                <w:sz w:val="20"/>
                <w:szCs w:val="20"/>
              </w:rPr>
              <w:t>Model 5: IDR-EURO Volatility</w:t>
            </w:r>
          </w:p>
        </w:tc>
      </w:tr>
      <w:tr w:rsidR="004B7B66" w:rsidRPr="004B7B66" w14:paraId="4071C71C" w14:textId="77777777" w:rsidTr="00E173E8">
        <w:trPr>
          <w:jc w:val="center"/>
        </w:trPr>
        <w:tc>
          <w:tcPr>
            <w:tcW w:w="1767" w:type="dxa"/>
          </w:tcPr>
          <w:p w14:paraId="367C3036" w14:textId="77777777" w:rsidR="004B7B66" w:rsidRPr="004B7B66" w:rsidRDefault="004B7B66" w:rsidP="004B7B66">
            <w:pPr>
              <w:autoSpaceDE w:val="0"/>
              <w:autoSpaceDN w:val="0"/>
              <w:adjustRightInd w:val="0"/>
              <w:jc w:val="both"/>
              <w:rPr>
                <w:rFonts w:ascii="Times New Roman" w:hAnsi="Times New Roman" w:cs="Times New Roman"/>
                <w:sz w:val="20"/>
                <w:szCs w:val="20"/>
              </w:rPr>
            </w:pPr>
            <w:r w:rsidRPr="004B7B66">
              <w:rPr>
                <w:rFonts w:ascii="Times New Roman" w:hAnsi="Times New Roman" w:cs="Times New Roman"/>
                <w:sz w:val="20"/>
                <w:szCs w:val="20"/>
              </w:rPr>
              <w:t>Heteroskedasticity test</w:t>
            </w:r>
          </w:p>
        </w:tc>
        <w:tc>
          <w:tcPr>
            <w:tcW w:w="1536" w:type="dxa"/>
          </w:tcPr>
          <w:p w14:paraId="5552492E" w14:textId="20427051"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=0.63</w:t>
            </w:r>
          </w:p>
          <w:p w14:paraId="50CE4114" w14:textId="181D2C31"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Prob=0.70</w:t>
            </w:r>
          </w:p>
        </w:tc>
        <w:tc>
          <w:tcPr>
            <w:tcW w:w="1559" w:type="dxa"/>
          </w:tcPr>
          <w:p w14:paraId="13A36E2A" w14:textId="37200392"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=0.15</w:t>
            </w:r>
          </w:p>
          <w:p w14:paraId="7FC6092F" w14:textId="4343531F"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Prob=0.15</w:t>
            </w:r>
          </w:p>
        </w:tc>
        <w:tc>
          <w:tcPr>
            <w:tcW w:w="1559" w:type="dxa"/>
          </w:tcPr>
          <w:p w14:paraId="6B5B5EA9" w14:textId="79778FFA"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=0.78</w:t>
            </w:r>
          </w:p>
          <w:p w14:paraId="2B4B6CB6" w14:textId="4E907926"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Prob=0.56</w:t>
            </w:r>
          </w:p>
        </w:tc>
        <w:tc>
          <w:tcPr>
            <w:tcW w:w="1565" w:type="dxa"/>
          </w:tcPr>
          <w:p w14:paraId="07964A94" w14:textId="4DAEE053"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=1.52</w:t>
            </w:r>
          </w:p>
          <w:p w14:paraId="2BB7B5AE" w14:textId="6F14195D"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Prob=0.17</w:t>
            </w:r>
          </w:p>
        </w:tc>
        <w:tc>
          <w:tcPr>
            <w:tcW w:w="1701" w:type="dxa"/>
          </w:tcPr>
          <w:p w14:paraId="41C1AA9A" w14:textId="2605E301"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=0.72</w:t>
            </w:r>
          </w:p>
          <w:p w14:paraId="3DBAC058" w14:textId="695501FB"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Prob=0.78</w:t>
            </w:r>
          </w:p>
        </w:tc>
      </w:tr>
      <w:tr w:rsidR="004B7B66" w:rsidRPr="004B7B66" w14:paraId="1A3D8714" w14:textId="77777777" w:rsidTr="00E173E8">
        <w:trPr>
          <w:jc w:val="center"/>
        </w:trPr>
        <w:tc>
          <w:tcPr>
            <w:tcW w:w="1767" w:type="dxa"/>
          </w:tcPr>
          <w:p w14:paraId="67F06086" w14:textId="77777777" w:rsidR="004B7B66" w:rsidRPr="004B7B66" w:rsidRDefault="004B7B66" w:rsidP="004B7B66">
            <w:pPr>
              <w:autoSpaceDE w:val="0"/>
              <w:autoSpaceDN w:val="0"/>
              <w:adjustRightInd w:val="0"/>
              <w:jc w:val="both"/>
              <w:rPr>
                <w:rFonts w:ascii="Times New Roman" w:hAnsi="Times New Roman" w:cs="Times New Roman"/>
                <w:sz w:val="20"/>
                <w:szCs w:val="20"/>
              </w:rPr>
            </w:pPr>
            <w:r w:rsidRPr="004B7B66">
              <w:rPr>
                <w:rFonts w:ascii="Times New Roman" w:hAnsi="Times New Roman" w:cs="Times New Roman"/>
                <w:sz w:val="20"/>
                <w:szCs w:val="20"/>
              </w:rPr>
              <w:t>Serial Correlation LM test</w:t>
            </w:r>
          </w:p>
        </w:tc>
        <w:tc>
          <w:tcPr>
            <w:tcW w:w="1536" w:type="dxa"/>
          </w:tcPr>
          <w:p w14:paraId="0BB3EF57" w14:textId="2FCF6D1C"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=1.51</w:t>
            </w:r>
          </w:p>
          <w:p w14:paraId="10F19D59" w14:textId="76E0C6D4"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Prob=0.23</w:t>
            </w:r>
          </w:p>
        </w:tc>
        <w:tc>
          <w:tcPr>
            <w:tcW w:w="1559" w:type="dxa"/>
          </w:tcPr>
          <w:p w14:paraId="202E106A" w14:textId="233771F8"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=0.32</w:t>
            </w:r>
          </w:p>
          <w:p w14:paraId="22386503" w14:textId="4C5DD706"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Prob=0.27</w:t>
            </w:r>
          </w:p>
        </w:tc>
        <w:tc>
          <w:tcPr>
            <w:tcW w:w="1559" w:type="dxa"/>
          </w:tcPr>
          <w:p w14:paraId="6887E7E6" w14:textId="1E82512C"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=0.25</w:t>
            </w:r>
          </w:p>
          <w:p w14:paraId="40D84B28" w14:textId="6C3E008A"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Prob=0.77</w:t>
            </w:r>
          </w:p>
        </w:tc>
        <w:tc>
          <w:tcPr>
            <w:tcW w:w="1565" w:type="dxa"/>
          </w:tcPr>
          <w:p w14:paraId="44C806E3" w14:textId="35D2ADDA"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=1.18</w:t>
            </w:r>
          </w:p>
          <w:p w14:paraId="48BD05A3" w14:textId="1CE56085"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Prob=0.31</w:t>
            </w:r>
          </w:p>
        </w:tc>
        <w:tc>
          <w:tcPr>
            <w:tcW w:w="1701" w:type="dxa"/>
          </w:tcPr>
          <w:p w14:paraId="168E0985" w14:textId="77E3C365"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=2.20</w:t>
            </w:r>
          </w:p>
          <w:p w14:paraId="620FFBD8" w14:textId="1CA3920F"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Prob=0.11</w:t>
            </w:r>
          </w:p>
        </w:tc>
      </w:tr>
      <w:tr w:rsidR="004B7B66" w:rsidRPr="004B7B66" w14:paraId="66A90A1D" w14:textId="77777777" w:rsidTr="00E173E8">
        <w:trPr>
          <w:jc w:val="center"/>
        </w:trPr>
        <w:tc>
          <w:tcPr>
            <w:tcW w:w="1767" w:type="dxa"/>
          </w:tcPr>
          <w:p w14:paraId="4573DC89" w14:textId="77777777" w:rsidR="004B7B66" w:rsidRPr="004B7B66" w:rsidRDefault="004B7B66" w:rsidP="004B7B66">
            <w:pPr>
              <w:autoSpaceDE w:val="0"/>
              <w:autoSpaceDN w:val="0"/>
              <w:adjustRightInd w:val="0"/>
              <w:jc w:val="both"/>
              <w:rPr>
                <w:rFonts w:ascii="Times New Roman" w:hAnsi="Times New Roman" w:cs="Times New Roman"/>
                <w:sz w:val="20"/>
                <w:szCs w:val="20"/>
              </w:rPr>
            </w:pPr>
            <w:proofErr w:type="spellStart"/>
            <w:r w:rsidRPr="004B7B66">
              <w:rPr>
                <w:rFonts w:ascii="Times New Roman" w:hAnsi="Times New Roman" w:cs="Times New Roman"/>
                <w:sz w:val="20"/>
                <w:szCs w:val="20"/>
              </w:rPr>
              <w:t>Ramsey_Reset</w:t>
            </w:r>
            <w:proofErr w:type="spellEnd"/>
            <w:r w:rsidRPr="004B7B66">
              <w:rPr>
                <w:rFonts w:ascii="Times New Roman" w:hAnsi="Times New Roman" w:cs="Times New Roman"/>
                <w:sz w:val="20"/>
                <w:szCs w:val="20"/>
              </w:rPr>
              <w:t xml:space="preserve"> test</w:t>
            </w:r>
          </w:p>
        </w:tc>
        <w:tc>
          <w:tcPr>
            <w:tcW w:w="1536" w:type="dxa"/>
          </w:tcPr>
          <w:p w14:paraId="08E05E8C" w14:textId="555FFAA8"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=2.51</w:t>
            </w:r>
          </w:p>
          <w:p w14:paraId="2297CE1E" w14:textId="07458F63"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Prob=0.12</w:t>
            </w:r>
          </w:p>
        </w:tc>
        <w:tc>
          <w:tcPr>
            <w:tcW w:w="1559" w:type="dxa"/>
          </w:tcPr>
          <w:p w14:paraId="34CB23A6" w14:textId="49408845"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=2.55</w:t>
            </w:r>
          </w:p>
          <w:p w14:paraId="70236D78" w14:textId="030E369F"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Prob=0.11</w:t>
            </w:r>
          </w:p>
        </w:tc>
        <w:tc>
          <w:tcPr>
            <w:tcW w:w="1559" w:type="dxa"/>
          </w:tcPr>
          <w:p w14:paraId="1A2B9074" w14:textId="127C7A8D"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=0.93</w:t>
            </w:r>
          </w:p>
          <w:p w14:paraId="14516F5C" w14:textId="6DEAD959"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Prob=0.33</w:t>
            </w:r>
          </w:p>
        </w:tc>
        <w:tc>
          <w:tcPr>
            <w:tcW w:w="1565" w:type="dxa"/>
          </w:tcPr>
          <w:p w14:paraId="1329DF43" w14:textId="72AE3CE9"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=1.16</w:t>
            </w:r>
          </w:p>
          <w:p w14:paraId="4866C1B7" w14:textId="0864E047"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Prob=0.28</w:t>
            </w:r>
          </w:p>
        </w:tc>
        <w:tc>
          <w:tcPr>
            <w:tcW w:w="1701" w:type="dxa"/>
          </w:tcPr>
          <w:p w14:paraId="2922620C" w14:textId="18B3D364" w:rsidR="004B7B66" w:rsidRPr="004B7B66" w:rsidRDefault="004B7B66" w:rsidP="00F7705D">
            <w:pPr>
              <w:autoSpaceDE w:val="0"/>
              <w:autoSpaceDN w:val="0"/>
              <w:adjustRightInd w:val="0"/>
              <w:jc w:val="center"/>
              <w:rPr>
                <w:rFonts w:ascii="Times New Roman" w:hAnsi="Times New Roman" w:cs="Times New Roman"/>
                <w:sz w:val="20"/>
                <w:szCs w:val="20"/>
              </w:rPr>
            </w:pPr>
            <w:proofErr w:type="spellStart"/>
            <w:r w:rsidRPr="004B7B66">
              <w:rPr>
                <w:rFonts w:ascii="Times New Roman" w:hAnsi="Times New Roman" w:cs="Times New Roman"/>
                <w:sz w:val="20"/>
                <w:szCs w:val="20"/>
              </w:rPr>
              <w:t>Fstat</w:t>
            </w:r>
            <w:proofErr w:type="spellEnd"/>
            <w:r w:rsidRPr="004B7B66">
              <w:rPr>
                <w:rFonts w:ascii="Times New Roman" w:hAnsi="Times New Roman" w:cs="Times New Roman"/>
                <w:sz w:val="20"/>
                <w:szCs w:val="20"/>
              </w:rPr>
              <w:t>=0.07</w:t>
            </w:r>
          </w:p>
          <w:p w14:paraId="271834A9" w14:textId="2517CF6A" w:rsidR="004B7B66" w:rsidRPr="004B7B66" w:rsidRDefault="004B7B66" w:rsidP="00F7705D">
            <w:pPr>
              <w:autoSpaceDE w:val="0"/>
              <w:autoSpaceDN w:val="0"/>
              <w:adjustRightInd w:val="0"/>
              <w:jc w:val="center"/>
              <w:rPr>
                <w:rFonts w:ascii="Times New Roman" w:hAnsi="Times New Roman" w:cs="Times New Roman"/>
                <w:sz w:val="20"/>
                <w:szCs w:val="20"/>
              </w:rPr>
            </w:pPr>
            <w:r w:rsidRPr="004B7B66">
              <w:rPr>
                <w:rFonts w:ascii="Times New Roman" w:hAnsi="Times New Roman" w:cs="Times New Roman"/>
                <w:sz w:val="20"/>
                <w:szCs w:val="20"/>
              </w:rPr>
              <w:t>Prob=0.78</w:t>
            </w:r>
          </w:p>
        </w:tc>
      </w:tr>
    </w:tbl>
    <w:p w14:paraId="7B28A336" w14:textId="77777777" w:rsidR="00FD70F3" w:rsidRPr="003B572A" w:rsidRDefault="00FD70F3" w:rsidP="00736B8D">
      <w:pPr>
        <w:pStyle w:val="ListParagraph"/>
        <w:tabs>
          <w:tab w:val="left" w:pos="426"/>
        </w:tabs>
        <w:kinsoku w:val="0"/>
        <w:overflowPunct w:val="0"/>
        <w:autoSpaceDE w:val="0"/>
        <w:autoSpaceDN w:val="0"/>
        <w:spacing w:after="0" w:line="240" w:lineRule="auto"/>
        <w:ind w:left="284"/>
        <w:jc w:val="both"/>
        <w:rPr>
          <w:rFonts w:ascii="Times New Roman" w:eastAsia="Palatino Linotype" w:hAnsi="Times New Roman" w:cs="Times New Roman"/>
          <w:b/>
          <w:bCs/>
          <w:sz w:val="2"/>
          <w:szCs w:val="1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9037"/>
      </w:tblGrid>
      <w:tr w:rsidR="00FD70F3" w14:paraId="632EE6E2" w14:textId="77777777" w:rsidTr="003B572A">
        <w:trPr>
          <w:jc w:val="center"/>
        </w:trPr>
        <w:tc>
          <w:tcPr>
            <w:tcW w:w="597" w:type="dxa"/>
          </w:tcPr>
          <w:p w14:paraId="5DA7C7E6" w14:textId="61304E60" w:rsidR="00FD70F3" w:rsidRDefault="00FD70F3" w:rsidP="00FD70F3">
            <w:pPr>
              <w:pStyle w:val="ListParagraph"/>
              <w:tabs>
                <w:tab w:val="left" w:pos="426"/>
              </w:tabs>
              <w:kinsoku w:val="0"/>
              <w:overflowPunct w:val="0"/>
              <w:autoSpaceDE w:val="0"/>
              <w:autoSpaceDN w:val="0"/>
              <w:ind w:left="0"/>
              <w:jc w:val="both"/>
              <w:rPr>
                <w:rFonts w:ascii="Times New Roman" w:eastAsia="Palatino Linotype" w:hAnsi="Times New Roman" w:cs="Times New Roman"/>
                <w:b/>
                <w:bCs/>
                <w:sz w:val="14"/>
                <w:szCs w:val="18"/>
              </w:rPr>
            </w:pPr>
            <w:r w:rsidRPr="00736B8D">
              <w:rPr>
                <w:rFonts w:ascii="Times New Roman" w:eastAsia="Palatino Linotype" w:hAnsi="Times New Roman" w:cs="Times New Roman"/>
                <w:b/>
                <w:bCs/>
                <w:sz w:val="14"/>
                <w:szCs w:val="18"/>
              </w:rPr>
              <w:t>Notes:</w:t>
            </w:r>
          </w:p>
        </w:tc>
        <w:tc>
          <w:tcPr>
            <w:tcW w:w="9037" w:type="dxa"/>
          </w:tcPr>
          <w:p w14:paraId="495F3C40" w14:textId="77777777" w:rsidR="00FD70F3" w:rsidRPr="00FD70F3" w:rsidRDefault="00FD70F3" w:rsidP="003B572A">
            <w:pPr>
              <w:pStyle w:val="ListParagraph"/>
              <w:numPr>
                <w:ilvl w:val="0"/>
                <w:numId w:val="15"/>
              </w:numPr>
              <w:tabs>
                <w:tab w:val="left" w:pos="114"/>
              </w:tabs>
              <w:kinsoku w:val="0"/>
              <w:overflowPunct w:val="0"/>
              <w:autoSpaceDE w:val="0"/>
              <w:autoSpaceDN w:val="0"/>
              <w:ind w:left="204" w:hanging="270"/>
              <w:jc w:val="both"/>
              <w:rPr>
                <w:rFonts w:ascii="Times New Roman" w:hAnsi="Times New Roman" w:cs="Times New Roman"/>
                <w:sz w:val="14"/>
                <w:szCs w:val="18"/>
              </w:rPr>
            </w:pPr>
            <w:r w:rsidRPr="00FD70F3">
              <w:rPr>
                <w:rFonts w:ascii="Times New Roman" w:hAnsi="Times New Roman" w:cs="Times New Roman"/>
                <w:sz w:val="14"/>
                <w:szCs w:val="18"/>
              </w:rPr>
              <w:t xml:space="preserve">Breusch-Pagan-Godfrey Heteroscedasticity test; Breusch-Godfrey serial correlation LM test, </w:t>
            </w:r>
            <w:proofErr w:type="spellStart"/>
            <w:r w:rsidRPr="00FD70F3">
              <w:rPr>
                <w:rFonts w:ascii="Times New Roman" w:hAnsi="Times New Roman" w:cs="Times New Roman"/>
                <w:sz w:val="14"/>
                <w:szCs w:val="18"/>
              </w:rPr>
              <w:t>Jarque</w:t>
            </w:r>
            <w:proofErr w:type="spellEnd"/>
            <w:r w:rsidRPr="00FD70F3">
              <w:rPr>
                <w:rFonts w:ascii="Times New Roman" w:hAnsi="Times New Roman" w:cs="Times New Roman"/>
                <w:sz w:val="14"/>
                <w:szCs w:val="18"/>
              </w:rPr>
              <w:t>-Berra (Normality test); and Ramsey-Reset test.</w:t>
            </w:r>
          </w:p>
          <w:p w14:paraId="65973093" w14:textId="03430691" w:rsidR="00FD70F3" w:rsidRPr="00FD70F3" w:rsidRDefault="00FD70F3" w:rsidP="003B572A">
            <w:pPr>
              <w:pStyle w:val="ListParagraph"/>
              <w:numPr>
                <w:ilvl w:val="0"/>
                <w:numId w:val="15"/>
              </w:numPr>
              <w:tabs>
                <w:tab w:val="left" w:pos="114"/>
              </w:tabs>
              <w:kinsoku w:val="0"/>
              <w:overflowPunct w:val="0"/>
              <w:autoSpaceDE w:val="0"/>
              <w:autoSpaceDN w:val="0"/>
              <w:adjustRightInd w:val="0"/>
              <w:ind w:left="204" w:hanging="270"/>
              <w:jc w:val="both"/>
              <w:rPr>
                <w:rFonts w:ascii="Times New Roman" w:hAnsi="Times New Roman" w:cs="Times New Roman"/>
                <w:sz w:val="14"/>
                <w:szCs w:val="18"/>
              </w:rPr>
            </w:pPr>
            <w:r w:rsidRPr="00FD70F3">
              <w:rPr>
                <w:rFonts w:ascii="Times New Roman" w:hAnsi="Times New Roman" w:cs="Times New Roman"/>
                <w:sz w:val="14"/>
                <w:szCs w:val="18"/>
              </w:rPr>
              <w:t>IDR-USD Volatility is Indonesia Rupiah to US Dollar volatility</w:t>
            </w:r>
          </w:p>
          <w:p w14:paraId="742F629F" w14:textId="77777777" w:rsidR="00FD70F3" w:rsidRPr="00FD70F3" w:rsidRDefault="00FD70F3" w:rsidP="003B572A">
            <w:pPr>
              <w:pStyle w:val="ListParagraph"/>
              <w:numPr>
                <w:ilvl w:val="0"/>
                <w:numId w:val="15"/>
              </w:numPr>
              <w:tabs>
                <w:tab w:val="left" w:pos="114"/>
              </w:tabs>
              <w:kinsoku w:val="0"/>
              <w:overflowPunct w:val="0"/>
              <w:autoSpaceDE w:val="0"/>
              <w:autoSpaceDN w:val="0"/>
              <w:adjustRightInd w:val="0"/>
              <w:ind w:left="204" w:hanging="270"/>
              <w:jc w:val="both"/>
              <w:rPr>
                <w:rFonts w:ascii="Times New Roman" w:hAnsi="Times New Roman" w:cs="Times New Roman"/>
                <w:sz w:val="14"/>
                <w:szCs w:val="18"/>
              </w:rPr>
            </w:pPr>
            <w:r w:rsidRPr="00FD70F3">
              <w:rPr>
                <w:rFonts w:ascii="Times New Roman" w:hAnsi="Times New Roman" w:cs="Times New Roman"/>
                <w:sz w:val="14"/>
                <w:szCs w:val="18"/>
              </w:rPr>
              <w:t>IDR-SGD Volatility is Indonesia Rupiah to Singapore Dollar volatility</w:t>
            </w:r>
          </w:p>
          <w:p w14:paraId="58E76B31" w14:textId="77777777" w:rsidR="00FD70F3" w:rsidRPr="00FD70F3" w:rsidRDefault="00FD70F3" w:rsidP="003B572A">
            <w:pPr>
              <w:pStyle w:val="ListParagraph"/>
              <w:numPr>
                <w:ilvl w:val="0"/>
                <w:numId w:val="15"/>
              </w:numPr>
              <w:tabs>
                <w:tab w:val="left" w:pos="114"/>
              </w:tabs>
              <w:kinsoku w:val="0"/>
              <w:overflowPunct w:val="0"/>
              <w:autoSpaceDE w:val="0"/>
              <w:autoSpaceDN w:val="0"/>
              <w:adjustRightInd w:val="0"/>
              <w:ind w:left="204" w:hanging="270"/>
              <w:jc w:val="both"/>
              <w:rPr>
                <w:rFonts w:ascii="Times New Roman" w:hAnsi="Times New Roman" w:cs="Times New Roman"/>
                <w:sz w:val="14"/>
                <w:szCs w:val="18"/>
              </w:rPr>
            </w:pPr>
            <w:r w:rsidRPr="00FD70F3">
              <w:rPr>
                <w:rFonts w:ascii="Times New Roman" w:hAnsi="Times New Roman" w:cs="Times New Roman"/>
                <w:sz w:val="14"/>
                <w:szCs w:val="18"/>
              </w:rPr>
              <w:t>IDR-AUD Volatility is Indonesia Rupiah to Australia Dollar volatility</w:t>
            </w:r>
          </w:p>
          <w:p w14:paraId="41081356" w14:textId="77777777" w:rsidR="00FD70F3" w:rsidRPr="00FD70F3" w:rsidRDefault="00FD70F3" w:rsidP="003B572A">
            <w:pPr>
              <w:pStyle w:val="ListParagraph"/>
              <w:numPr>
                <w:ilvl w:val="0"/>
                <w:numId w:val="15"/>
              </w:numPr>
              <w:tabs>
                <w:tab w:val="left" w:pos="114"/>
              </w:tabs>
              <w:kinsoku w:val="0"/>
              <w:overflowPunct w:val="0"/>
              <w:autoSpaceDE w:val="0"/>
              <w:autoSpaceDN w:val="0"/>
              <w:adjustRightInd w:val="0"/>
              <w:ind w:left="204" w:hanging="270"/>
              <w:jc w:val="both"/>
              <w:rPr>
                <w:rFonts w:ascii="Times New Roman" w:hAnsi="Times New Roman" w:cs="Times New Roman"/>
                <w:sz w:val="14"/>
                <w:szCs w:val="18"/>
              </w:rPr>
            </w:pPr>
            <w:r w:rsidRPr="00FD70F3">
              <w:rPr>
                <w:rFonts w:ascii="Times New Roman" w:hAnsi="Times New Roman" w:cs="Times New Roman"/>
                <w:sz w:val="14"/>
                <w:szCs w:val="18"/>
              </w:rPr>
              <w:t>IDR-GBP Volatility is Indonesia Rupiah to US British Pound Sterling volatility</w:t>
            </w:r>
          </w:p>
          <w:p w14:paraId="08ACAB29" w14:textId="248FBC2E" w:rsidR="00FD70F3" w:rsidRPr="00FD70F3" w:rsidRDefault="00FD70F3" w:rsidP="003B572A">
            <w:pPr>
              <w:pStyle w:val="ListParagraph"/>
              <w:numPr>
                <w:ilvl w:val="0"/>
                <w:numId w:val="15"/>
              </w:numPr>
              <w:tabs>
                <w:tab w:val="left" w:pos="114"/>
              </w:tabs>
              <w:kinsoku w:val="0"/>
              <w:overflowPunct w:val="0"/>
              <w:autoSpaceDE w:val="0"/>
              <w:autoSpaceDN w:val="0"/>
              <w:adjustRightInd w:val="0"/>
              <w:ind w:left="204" w:hanging="270"/>
              <w:jc w:val="both"/>
              <w:rPr>
                <w:rFonts w:ascii="Times New Roman" w:hAnsi="Times New Roman" w:cs="Times New Roman"/>
                <w:sz w:val="14"/>
                <w:szCs w:val="18"/>
              </w:rPr>
            </w:pPr>
            <w:r w:rsidRPr="00FD70F3">
              <w:rPr>
                <w:rFonts w:ascii="Times New Roman" w:hAnsi="Times New Roman" w:cs="Times New Roman"/>
                <w:sz w:val="14"/>
                <w:szCs w:val="18"/>
              </w:rPr>
              <w:t>IDR-EURO Volatility is Indonesia Rupiah to EURO volatility</w:t>
            </w:r>
          </w:p>
        </w:tc>
      </w:tr>
    </w:tbl>
    <w:p w14:paraId="60E0DE3E" w14:textId="77777777" w:rsidR="00FD70F3" w:rsidRPr="003B572A" w:rsidRDefault="00FD70F3" w:rsidP="00736B8D">
      <w:pPr>
        <w:pStyle w:val="ListParagraph"/>
        <w:tabs>
          <w:tab w:val="left" w:pos="426"/>
        </w:tabs>
        <w:kinsoku w:val="0"/>
        <w:overflowPunct w:val="0"/>
        <w:autoSpaceDE w:val="0"/>
        <w:autoSpaceDN w:val="0"/>
        <w:spacing w:after="0" w:line="240" w:lineRule="auto"/>
        <w:ind w:left="284"/>
        <w:jc w:val="both"/>
        <w:rPr>
          <w:rFonts w:ascii="Times New Roman" w:eastAsia="Palatino Linotype" w:hAnsi="Times New Roman" w:cs="Times New Roman"/>
          <w:b/>
          <w:bCs/>
          <w:sz w:val="20"/>
          <w:szCs w:val="18"/>
        </w:rPr>
      </w:pPr>
    </w:p>
    <w:p w14:paraId="2291F478" w14:textId="3F1F3EA0" w:rsidR="00E173E8" w:rsidRPr="00E173E8" w:rsidRDefault="00E173E8" w:rsidP="009D5EDB">
      <w:pPr>
        <w:autoSpaceDE w:val="0"/>
        <w:autoSpaceDN w:val="0"/>
        <w:adjustRightInd w:val="0"/>
        <w:spacing w:after="0" w:line="240" w:lineRule="auto"/>
        <w:ind w:right="202" w:firstLine="360"/>
        <w:jc w:val="both"/>
        <w:rPr>
          <w:rFonts w:ascii="Times New Roman" w:hAnsi="Times New Roman" w:cs="Times New Roman"/>
          <w:sz w:val="20"/>
          <w:szCs w:val="20"/>
        </w:rPr>
      </w:pPr>
      <w:r w:rsidRPr="00E173E8">
        <w:rPr>
          <w:rFonts w:ascii="Times New Roman" w:hAnsi="Times New Roman" w:cs="Times New Roman"/>
          <w:sz w:val="20"/>
          <w:szCs w:val="20"/>
        </w:rPr>
        <w:t xml:space="preserve">The results of </w:t>
      </w:r>
      <w:hyperlink w:anchor="Table4" w:history="1">
        <w:r w:rsidR="001D4F79" w:rsidRPr="00D20890">
          <w:rPr>
            <w:rStyle w:val="Hyperlink"/>
            <w:rFonts w:ascii="Times New Roman" w:hAnsi="Times New Roman" w:cs="Times New Roman"/>
            <w:sz w:val="20"/>
            <w:szCs w:val="20"/>
            <w:u w:val="none"/>
          </w:rPr>
          <w:t>Table 4</w:t>
        </w:r>
      </w:hyperlink>
      <w:r w:rsidR="001D4F79" w:rsidRPr="00E173E8">
        <w:rPr>
          <w:rFonts w:ascii="Times New Roman" w:hAnsi="Times New Roman" w:cs="Times New Roman"/>
          <w:sz w:val="20"/>
          <w:szCs w:val="20"/>
        </w:rPr>
        <w:t xml:space="preserve"> </w:t>
      </w:r>
      <w:r w:rsidRPr="00E173E8">
        <w:rPr>
          <w:rFonts w:ascii="Times New Roman" w:hAnsi="Times New Roman" w:cs="Times New Roman"/>
          <w:sz w:val="20"/>
          <w:szCs w:val="20"/>
        </w:rPr>
        <w:t xml:space="preserve">of diagnostic tests reveal that the models of this study </w:t>
      </w:r>
      <w:r w:rsidR="0058664F">
        <w:rPr>
          <w:rFonts w:ascii="Times New Roman" w:hAnsi="Times New Roman" w:cs="Times New Roman"/>
          <w:sz w:val="20"/>
          <w:szCs w:val="20"/>
        </w:rPr>
        <w:t>are</w:t>
      </w:r>
      <w:r w:rsidRPr="00E173E8">
        <w:rPr>
          <w:rFonts w:ascii="Times New Roman" w:hAnsi="Times New Roman" w:cs="Times New Roman"/>
          <w:sz w:val="20"/>
          <w:szCs w:val="20"/>
        </w:rPr>
        <w:t xml:space="preserve"> free from heteroscedasticity as well as serial correlation problem, and the data are normal. These results imply that the models are consistent and efficient. From </w:t>
      </w:r>
      <w:bookmarkStart w:id="15" w:name="Figure2"/>
      <w:r w:rsidR="00DB44D2" w:rsidRPr="00DB44D2">
        <w:rPr>
          <w:rFonts w:ascii="Times New Roman" w:hAnsi="Times New Roman" w:cs="Times New Roman"/>
          <w:sz w:val="20"/>
          <w:szCs w:val="20"/>
        </w:rPr>
        <w:fldChar w:fldCharType="begin"/>
      </w:r>
      <w:r w:rsidR="00DB44D2" w:rsidRPr="00DB44D2">
        <w:rPr>
          <w:rFonts w:ascii="Times New Roman" w:hAnsi="Times New Roman" w:cs="Times New Roman"/>
          <w:sz w:val="20"/>
          <w:szCs w:val="20"/>
        </w:rPr>
        <w:instrText xml:space="preserve"> HYPERLINK  \l "Figure2" </w:instrText>
      </w:r>
      <w:r w:rsidR="00DB44D2" w:rsidRPr="00DB44D2">
        <w:rPr>
          <w:rFonts w:ascii="Times New Roman" w:hAnsi="Times New Roman" w:cs="Times New Roman"/>
          <w:sz w:val="20"/>
          <w:szCs w:val="20"/>
        </w:rPr>
        <w:fldChar w:fldCharType="separate"/>
      </w:r>
      <w:r w:rsidRPr="00DB44D2">
        <w:rPr>
          <w:rStyle w:val="Hyperlink"/>
          <w:rFonts w:ascii="Times New Roman" w:hAnsi="Times New Roman" w:cs="Times New Roman"/>
          <w:sz w:val="20"/>
          <w:szCs w:val="20"/>
          <w:u w:val="none"/>
        </w:rPr>
        <w:t>Figure</w:t>
      </w:r>
      <w:bookmarkEnd w:id="15"/>
      <w:r w:rsidRPr="00DB44D2">
        <w:rPr>
          <w:rStyle w:val="Hyperlink"/>
          <w:rFonts w:ascii="Times New Roman" w:hAnsi="Times New Roman" w:cs="Times New Roman"/>
          <w:sz w:val="20"/>
          <w:szCs w:val="20"/>
          <w:u w:val="none"/>
        </w:rPr>
        <w:t xml:space="preserve"> 2</w:t>
      </w:r>
      <w:r w:rsidR="00DB44D2" w:rsidRPr="00DB44D2">
        <w:rPr>
          <w:rFonts w:ascii="Times New Roman" w:hAnsi="Times New Roman" w:cs="Times New Roman"/>
          <w:sz w:val="20"/>
          <w:szCs w:val="20"/>
        </w:rPr>
        <w:fldChar w:fldCharType="end"/>
      </w:r>
      <w:r w:rsidRPr="00E173E8">
        <w:rPr>
          <w:rFonts w:ascii="Times New Roman" w:hAnsi="Times New Roman" w:cs="Times New Roman"/>
          <w:sz w:val="20"/>
          <w:szCs w:val="20"/>
        </w:rPr>
        <w:t>, CUSUM and CUSUMSQ tests concluded that the models are stable and the estimated results are reliable.</w:t>
      </w:r>
    </w:p>
    <w:p w14:paraId="5DEB2FB4" w14:textId="77777777" w:rsidR="00E173E8" w:rsidRDefault="00E173E8" w:rsidP="00E173E8">
      <w:pPr>
        <w:autoSpaceDE w:val="0"/>
        <w:autoSpaceDN w:val="0"/>
        <w:adjustRightInd w:val="0"/>
        <w:spacing w:after="0" w:line="240" w:lineRule="auto"/>
        <w:ind w:left="-90" w:right="202"/>
        <w:jc w:val="both"/>
        <w:rPr>
          <w:rFonts w:ascii="Times New Roman" w:hAnsi="Times New Roman" w:cs="Times New Roman"/>
          <w:bCs/>
          <w:i/>
          <w:iCs/>
          <w:color w:val="FF0000"/>
          <w:sz w:val="20"/>
          <w:szCs w:val="20"/>
        </w:rPr>
      </w:pPr>
    </w:p>
    <w:p w14:paraId="38127C4D" w14:textId="0AD18B18" w:rsidR="004B7B66" w:rsidRPr="00736B8D" w:rsidRDefault="00736B8D" w:rsidP="00E173E8">
      <w:pPr>
        <w:autoSpaceDE w:val="0"/>
        <w:autoSpaceDN w:val="0"/>
        <w:adjustRightInd w:val="0"/>
        <w:spacing w:after="0" w:line="240" w:lineRule="auto"/>
        <w:ind w:left="-90" w:right="202"/>
        <w:jc w:val="both"/>
        <w:rPr>
          <w:rFonts w:ascii="Times New Roman" w:hAnsi="Times New Roman" w:cs="Times New Roman"/>
          <w:sz w:val="14"/>
          <w:szCs w:val="20"/>
        </w:rPr>
      </w:pPr>
      <w:r>
        <w:rPr>
          <w:rFonts w:ascii="Times New Roman" w:hAnsi="Times New Roman" w:cs="Times New Roman"/>
          <w:bCs/>
          <w:i/>
          <w:iCs/>
          <w:sz w:val="20"/>
          <w:szCs w:val="20"/>
        </w:rPr>
        <w:t xml:space="preserve">4.5. </w:t>
      </w:r>
      <w:r w:rsidR="004B7B66" w:rsidRPr="00736B8D">
        <w:rPr>
          <w:rFonts w:ascii="Times New Roman" w:hAnsi="Times New Roman" w:cs="Times New Roman"/>
          <w:bCs/>
          <w:i/>
          <w:iCs/>
          <w:sz w:val="20"/>
          <w:szCs w:val="20"/>
        </w:rPr>
        <w:t>Robustness Tests</w:t>
      </w:r>
    </w:p>
    <w:p w14:paraId="5ECCA9D9" w14:textId="6094DC93" w:rsidR="005F419F" w:rsidRPr="00736B8D" w:rsidRDefault="005F419F" w:rsidP="00736B8D">
      <w:pPr>
        <w:autoSpaceDE w:val="0"/>
        <w:autoSpaceDN w:val="0"/>
        <w:adjustRightInd w:val="0"/>
        <w:spacing w:after="0" w:line="240" w:lineRule="auto"/>
        <w:ind w:firstLine="360"/>
        <w:jc w:val="both"/>
        <w:rPr>
          <w:rFonts w:ascii="Times New Roman" w:hAnsi="Times New Roman" w:cs="Times New Roman"/>
          <w:bCs/>
          <w:color w:val="000000" w:themeColor="text1"/>
          <w:sz w:val="20"/>
          <w:szCs w:val="24"/>
        </w:rPr>
      </w:pPr>
      <w:r w:rsidRPr="00736B8D">
        <w:rPr>
          <w:rFonts w:ascii="Times New Roman" w:hAnsi="Times New Roman" w:cs="Times New Roman"/>
          <w:bCs/>
          <w:color w:val="000000" w:themeColor="text1"/>
          <w:sz w:val="20"/>
          <w:szCs w:val="24"/>
        </w:rPr>
        <w:t>In this section, we undertake FMOLS estimate to provide a robustness check for the influence of central bank rates on exchange rate volatility. FMOLS was used to calculate the output's long-run elasticity. This technique takes endogeneity and serial correlation into account as well.</w:t>
      </w:r>
      <w:r w:rsidR="00690D77">
        <w:rPr>
          <w:rFonts w:ascii="Times New Roman" w:hAnsi="Times New Roman" w:cs="Times New Roman"/>
          <w:bCs/>
          <w:color w:val="000000" w:themeColor="text1"/>
          <w:sz w:val="20"/>
          <w:szCs w:val="24"/>
        </w:rPr>
        <w:t xml:space="preserve"> </w:t>
      </w:r>
      <w:hyperlink w:anchor="Table5" w:history="1">
        <w:r w:rsidR="00690D77" w:rsidRPr="00C95693">
          <w:rPr>
            <w:rStyle w:val="Hyperlink"/>
            <w:rFonts w:ascii="Times New Roman" w:hAnsi="Times New Roman" w:cs="Times New Roman"/>
            <w:bCs/>
            <w:sz w:val="20"/>
            <w:szCs w:val="24"/>
            <w:u w:val="none"/>
          </w:rPr>
          <w:t>Table 5</w:t>
        </w:r>
      </w:hyperlink>
      <w:r w:rsidR="00690D77" w:rsidRPr="00C95693">
        <w:rPr>
          <w:rFonts w:ascii="Times New Roman" w:hAnsi="Times New Roman" w:cs="Times New Roman"/>
          <w:bCs/>
          <w:sz w:val="20"/>
          <w:szCs w:val="24"/>
        </w:rPr>
        <w:t xml:space="preserve"> presents the result of FMOLS estimation for four models.</w:t>
      </w:r>
    </w:p>
    <w:p w14:paraId="575E7462" w14:textId="77777777" w:rsidR="005F419F" w:rsidRPr="007C6DEB" w:rsidRDefault="005F419F" w:rsidP="007C6DEB">
      <w:pPr>
        <w:autoSpaceDE w:val="0"/>
        <w:autoSpaceDN w:val="0"/>
        <w:adjustRightInd w:val="0"/>
        <w:spacing w:after="0" w:line="240" w:lineRule="auto"/>
        <w:jc w:val="both"/>
        <w:rPr>
          <w:rFonts w:ascii="Times New Roman" w:hAnsi="Times New Roman" w:cs="Times New Roman"/>
          <w:bCs/>
          <w:i/>
          <w:iCs/>
          <w:color w:val="FF0000"/>
          <w:sz w:val="20"/>
          <w:szCs w:val="20"/>
        </w:rPr>
      </w:pPr>
    </w:p>
    <w:p w14:paraId="30BD9B87" w14:textId="60A4A7A3" w:rsidR="007C6DEB" w:rsidRPr="00600A5A" w:rsidRDefault="004B7B66" w:rsidP="007C6DEB">
      <w:pPr>
        <w:pStyle w:val="ListParagraph"/>
        <w:kinsoku w:val="0"/>
        <w:overflowPunct w:val="0"/>
        <w:autoSpaceDE w:val="0"/>
        <w:autoSpaceDN w:val="0"/>
        <w:spacing w:after="0" w:line="240" w:lineRule="auto"/>
        <w:jc w:val="both"/>
        <w:rPr>
          <w:rFonts w:ascii="Times New Roman" w:eastAsia="Palatino Linotype" w:hAnsi="Times New Roman" w:cs="Times New Roman"/>
          <w:b/>
          <w:bCs/>
          <w:sz w:val="16"/>
          <w:szCs w:val="20"/>
        </w:rPr>
      </w:pPr>
      <w:bookmarkStart w:id="16" w:name="Table5"/>
      <w:r w:rsidRPr="00600A5A">
        <w:rPr>
          <w:rFonts w:ascii="Times New Roman" w:eastAsia="Palatino Linotype" w:hAnsi="Times New Roman" w:cs="Times New Roman"/>
          <w:b/>
          <w:bCs/>
          <w:sz w:val="16"/>
          <w:szCs w:val="20"/>
        </w:rPr>
        <w:t>Table</w:t>
      </w:r>
      <w:r w:rsidR="001D4F79">
        <w:rPr>
          <w:rFonts w:ascii="Times New Roman" w:eastAsia="Palatino Linotype" w:hAnsi="Times New Roman" w:cs="Times New Roman"/>
          <w:b/>
          <w:bCs/>
          <w:sz w:val="16"/>
          <w:szCs w:val="20"/>
        </w:rPr>
        <w:t xml:space="preserve"> 5</w:t>
      </w:r>
      <w:bookmarkEnd w:id="16"/>
      <w:r w:rsidR="007C6DEB" w:rsidRPr="00600A5A">
        <w:rPr>
          <w:rFonts w:ascii="Times New Roman" w:eastAsia="Palatino Linotype" w:hAnsi="Times New Roman" w:cs="Times New Roman"/>
          <w:b/>
          <w:bCs/>
          <w:sz w:val="16"/>
          <w:szCs w:val="20"/>
        </w:rPr>
        <w:t>.</w:t>
      </w:r>
    </w:p>
    <w:p w14:paraId="383775E2" w14:textId="66E69BFC" w:rsidR="004B7B66" w:rsidRPr="00600A5A" w:rsidRDefault="004B7B66" w:rsidP="007C6DEB">
      <w:pPr>
        <w:pStyle w:val="ListParagraph"/>
        <w:kinsoku w:val="0"/>
        <w:overflowPunct w:val="0"/>
        <w:autoSpaceDE w:val="0"/>
        <w:autoSpaceDN w:val="0"/>
        <w:spacing w:after="0" w:line="240" w:lineRule="auto"/>
        <w:jc w:val="both"/>
        <w:rPr>
          <w:rFonts w:ascii="Times New Roman" w:eastAsia="Palatino Linotype" w:hAnsi="Times New Roman" w:cs="Times New Roman"/>
          <w:bCs/>
          <w:sz w:val="16"/>
          <w:szCs w:val="20"/>
        </w:rPr>
      </w:pPr>
      <w:r w:rsidRPr="00600A5A">
        <w:rPr>
          <w:rFonts w:ascii="Times New Roman" w:eastAsia="Palatino Linotype" w:hAnsi="Times New Roman" w:cs="Times New Roman"/>
          <w:b/>
          <w:bCs/>
          <w:sz w:val="16"/>
          <w:szCs w:val="20"/>
        </w:rPr>
        <w:t xml:space="preserve"> </w:t>
      </w:r>
      <w:r w:rsidRPr="00600A5A">
        <w:rPr>
          <w:rFonts w:ascii="Times New Roman" w:eastAsia="Palatino Linotype" w:hAnsi="Times New Roman" w:cs="Times New Roman"/>
          <w:bCs/>
          <w:sz w:val="16"/>
          <w:szCs w:val="20"/>
        </w:rPr>
        <w:t xml:space="preserve">Fully </w:t>
      </w:r>
      <w:r w:rsidR="007C6DEB" w:rsidRPr="00600A5A">
        <w:rPr>
          <w:rFonts w:ascii="Times New Roman" w:eastAsia="Palatino Linotype" w:hAnsi="Times New Roman" w:cs="Times New Roman"/>
          <w:bCs/>
          <w:sz w:val="16"/>
          <w:szCs w:val="20"/>
        </w:rPr>
        <w:t>modified ordinary least square estimation.</w:t>
      </w:r>
    </w:p>
    <w:tbl>
      <w:tblPr>
        <w:tblW w:w="8672"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714"/>
        <w:gridCol w:w="1402"/>
        <w:gridCol w:w="1269"/>
        <w:gridCol w:w="1269"/>
        <w:gridCol w:w="1537"/>
        <w:gridCol w:w="1481"/>
      </w:tblGrid>
      <w:tr w:rsidR="004B7B66" w:rsidRPr="004B7B66" w14:paraId="09F3403E" w14:textId="77777777" w:rsidTr="00D20882">
        <w:trPr>
          <w:trHeight w:val="325"/>
          <w:jc w:val="center"/>
        </w:trPr>
        <w:tc>
          <w:tcPr>
            <w:tcW w:w="1714" w:type="dxa"/>
            <w:shd w:val="clear" w:color="auto" w:fill="auto"/>
            <w:vAlign w:val="center"/>
          </w:tcPr>
          <w:p w14:paraId="42B225C2" w14:textId="77777777" w:rsidR="004B7B66" w:rsidRPr="007C6DEB" w:rsidRDefault="004B7B66" w:rsidP="004B7B66">
            <w:pPr>
              <w:autoSpaceDE w:val="0"/>
              <w:autoSpaceDN w:val="0"/>
              <w:adjustRightInd w:val="0"/>
              <w:spacing w:after="0" w:line="240" w:lineRule="auto"/>
              <w:jc w:val="both"/>
              <w:rPr>
                <w:rFonts w:ascii="Times New Roman" w:hAnsi="Times New Roman" w:cs="Times New Roman"/>
                <w:b/>
                <w:sz w:val="20"/>
                <w:szCs w:val="20"/>
              </w:rPr>
            </w:pPr>
            <w:r w:rsidRPr="007C6DEB">
              <w:rPr>
                <w:rFonts w:ascii="Times New Roman" w:hAnsi="Times New Roman" w:cs="Times New Roman"/>
                <w:b/>
                <w:sz w:val="20"/>
                <w:szCs w:val="20"/>
              </w:rPr>
              <w:t>Variable</w:t>
            </w:r>
          </w:p>
        </w:tc>
        <w:tc>
          <w:tcPr>
            <w:tcW w:w="1402" w:type="dxa"/>
            <w:shd w:val="clear" w:color="auto" w:fill="auto"/>
          </w:tcPr>
          <w:p w14:paraId="475F6854" w14:textId="77777777" w:rsidR="004B7B66" w:rsidRPr="007C6DEB" w:rsidRDefault="004B7B66" w:rsidP="00F7705D">
            <w:pPr>
              <w:autoSpaceDE w:val="0"/>
              <w:autoSpaceDN w:val="0"/>
              <w:adjustRightInd w:val="0"/>
              <w:spacing w:after="0" w:line="240" w:lineRule="auto"/>
              <w:jc w:val="center"/>
              <w:rPr>
                <w:rFonts w:ascii="Times New Roman" w:hAnsi="Times New Roman" w:cs="Times New Roman"/>
                <w:b/>
                <w:sz w:val="20"/>
                <w:szCs w:val="20"/>
              </w:rPr>
            </w:pPr>
            <w:r w:rsidRPr="007C6DEB">
              <w:rPr>
                <w:rFonts w:ascii="Times New Roman" w:hAnsi="Times New Roman" w:cs="Times New Roman"/>
                <w:b/>
                <w:sz w:val="20"/>
                <w:szCs w:val="20"/>
              </w:rPr>
              <w:t>Model 1: IDR-USD Volatility</w:t>
            </w:r>
          </w:p>
        </w:tc>
        <w:tc>
          <w:tcPr>
            <w:tcW w:w="1269" w:type="dxa"/>
            <w:shd w:val="clear" w:color="auto" w:fill="auto"/>
            <w:vAlign w:val="center"/>
          </w:tcPr>
          <w:p w14:paraId="32324B16" w14:textId="77777777" w:rsidR="004B7B66" w:rsidRPr="007C6DEB" w:rsidRDefault="004B7B66" w:rsidP="00F7705D">
            <w:pPr>
              <w:autoSpaceDE w:val="0"/>
              <w:autoSpaceDN w:val="0"/>
              <w:adjustRightInd w:val="0"/>
              <w:spacing w:after="0" w:line="240" w:lineRule="auto"/>
              <w:jc w:val="center"/>
              <w:rPr>
                <w:rFonts w:ascii="Times New Roman" w:hAnsi="Times New Roman" w:cs="Times New Roman"/>
                <w:b/>
                <w:sz w:val="20"/>
                <w:szCs w:val="20"/>
              </w:rPr>
            </w:pPr>
            <w:r w:rsidRPr="007C6DEB">
              <w:rPr>
                <w:rFonts w:ascii="Times New Roman" w:hAnsi="Times New Roman" w:cs="Times New Roman"/>
                <w:b/>
                <w:sz w:val="20"/>
                <w:szCs w:val="20"/>
              </w:rPr>
              <w:t>Model 2: IDR-SGD Volatility</w:t>
            </w:r>
          </w:p>
        </w:tc>
        <w:tc>
          <w:tcPr>
            <w:tcW w:w="1269" w:type="dxa"/>
            <w:vAlign w:val="center"/>
          </w:tcPr>
          <w:p w14:paraId="4E776C66" w14:textId="77777777" w:rsidR="004B7B66" w:rsidRPr="007C6DEB" w:rsidRDefault="004B7B66" w:rsidP="00F7705D">
            <w:pPr>
              <w:autoSpaceDE w:val="0"/>
              <w:autoSpaceDN w:val="0"/>
              <w:adjustRightInd w:val="0"/>
              <w:spacing w:after="0" w:line="240" w:lineRule="auto"/>
              <w:jc w:val="center"/>
              <w:rPr>
                <w:rFonts w:ascii="Times New Roman" w:hAnsi="Times New Roman" w:cs="Times New Roman"/>
                <w:b/>
                <w:sz w:val="20"/>
                <w:szCs w:val="20"/>
              </w:rPr>
            </w:pPr>
            <w:r w:rsidRPr="007C6DEB">
              <w:rPr>
                <w:rFonts w:ascii="Times New Roman" w:hAnsi="Times New Roman" w:cs="Times New Roman"/>
                <w:b/>
                <w:sz w:val="20"/>
                <w:szCs w:val="20"/>
              </w:rPr>
              <w:t>Model 3: IDR-AUD Volatility</w:t>
            </w:r>
          </w:p>
        </w:tc>
        <w:tc>
          <w:tcPr>
            <w:tcW w:w="1537" w:type="dxa"/>
            <w:vAlign w:val="center"/>
          </w:tcPr>
          <w:p w14:paraId="568663FD" w14:textId="77777777" w:rsidR="004B7B66" w:rsidRPr="007C6DEB" w:rsidRDefault="004B7B66" w:rsidP="00F7705D">
            <w:pPr>
              <w:autoSpaceDE w:val="0"/>
              <w:autoSpaceDN w:val="0"/>
              <w:adjustRightInd w:val="0"/>
              <w:spacing w:after="0" w:line="240" w:lineRule="auto"/>
              <w:jc w:val="center"/>
              <w:rPr>
                <w:rFonts w:ascii="Times New Roman" w:hAnsi="Times New Roman" w:cs="Times New Roman"/>
                <w:b/>
                <w:sz w:val="20"/>
                <w:szCs w:val="20"/>
              </w:rPr>
            </w:pPr>
            <w:r w:rsidRPr="007C6DEB">
              <w:rPr>
                <w:rFonts w:ascii="Times New Roman" w:hAnsi="Times New Roman" w:cs="Times New Roman"/>
                <w:b/>
                <w:sz w:val="20"/>
                <w:szCs w:val="20"/>
              </w:rPr>
              <w:t>Model 4: IDR-GBP Volatility</w:t>
            </w:r>
          </w:p>
        </w:tc>
        <w:tc>
          <w:tcPr>
            <w:tcW w:w="1481" w:type="dxa"/>
            <w:vAlign w:val="center"/>
          </w:tcPr>
          <w:p w14:paraId="7CB6C011" w14:textId="77777777" w:rsidR="004B7B66" w:rsidRPr="007C6DEB" w:rsidRDefault="004B7B66" w:rsidP="00F7705D">
            <w:pPr>
              <w:autoSpaceDE w:val="0"/>
              <w:autoSpaceDN w:val="0"/>
              <w:adjustRightInd w:val="0"/>
              <w:spacing w:after="0" w:line="240" w:lineRule="auto"/>
              <w:jc w:val="center"/>
              <w:rPr>
                <w:rFonts w:ascii="Times New Roman" w:hAnsi="Times New Roman" w:cs="Times New Roman"/>
                <w:b/>
                <w:sz w:val="20"/>
                <w:szCs w:val="20"/>
              </w:rPr>
            </w:pPr>
            <w:r w:rsidRPr="007C6DEB">
              <w:rPr>
                <w:rFonts w:ascii="Times New Roman" w:hAnsi="Times New Roman" w:cs="Times New Roman"/>
                <w:b/>
                <w:sz w:val="20"/>
                <w:szCs w:val="20"/>
              </w:rPr>
              <w:t>Model 5: IDR-EURO Volatility</w:t>
            </w:r>
          </w:p>
        </w:tc>
      </w:tr>
      <w:tr w:rsidR="004B7B66" w:rsidRPr="004B7B66" w14:paraId="6167B33F" w14:textId="77777777" w:rsidTr="00D20882">
        <w:trPr>
          <w:trHeight w:val="177"/>
          <w:jc w:val="center"/>
        </w:trPr>
        <w:tc>
          <w:tcPr>
            <w:tcW w:w="1714" w:type="dxa"/>
            <w:shd w:val="clear" w:color="auto" w:fill="auto"/>
            <w:vAlign w:val="center"/>
          </w:tcPr>
          <w:p w14:paraId="53F44BEF" w14:textId="66FA358D" w:rsidR="004B7B66" w:rsidRPr="004B7B66" w:rsidRDefault="004B7B66"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C</w:t>
            </w:r>
            <w:r w:rsidR="00D20882">
              <w:rPr>
                <w:rFonts w:ascii="Times New Roman" w:hAnsi="Times New Roman" w:cs="Times New Roman"/>
                <w:sz w:val="20"/>
                <w:szCs w:val="20"/>
              </w:rPr>
              <w:t xml:space="preserve">entral </w:t>
            </w:r>
            <w:r w:rsidRPr="004B7B66">
              <w:rPr>
                <w:rFonts w:ascii="Times New Roman" w:hAnsi="Times New Roman" w:cs="Times New Roman"/>
                <w:sz w:val="20"/>
                <w:szCs w:val="20"/>
              </w:rPr>
              <w:t>B</w:t>
            </w:r>
            <w:r w:rsidR="00D20882">
              <w:rPr>
                <w:rFonts w:ascii="Times New Roman" w:hAnsi="Times New Roman" w:cs="Times New Roman"/>
                <w:sz w:val="20"/>
                <w:szCs w:val="20"/>
              </w:rPr>
              <w:t>ank</w:t>
            </w:r>
            <w:r w:rsidRPr="004B7B66">
              <w:rPr>
                <w:rFonts w:ascii="Times New Roman" w:hAnsi="Times New Roman" w:cs="Times New Roman"/>
                <w:sz w:val="20"/>
                <w:szCs w:val="20"/>
              </w:rPr>
              <w:t xml:space="preserve"> Rate</w:t>
            </w:r>
          </w:p>
        </w:tc>
        <w:tc>
          <w:tcPr>
            <w:tcW w:w="1402" w:type="dxa"/>
            <w:shd w:val="clear" w:color="auto" w:fill="auto"/>
          </w:tcPr>
          <w:p w14:paraId="5E11FF9E" w14:textId="5B78AC34"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0.99***</w:t>
            </w:r>
          </w:p>
          <w:p w14:paraId="73882A89" w14:textId="4050C55F"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(0.09)</w:t>
            </w:r>
          </w:p>
        </w:tc>
        <w:tc>
          <w:tcPr>
            <w:tcW w:w="1269" w:type="dxa"/>
            <w:shd w:val="clear" w:color="auto" w:fill="auto"/>
          </w:tcPr>
          <w:p w14:paraId="49D4B750" w14:textId="142823D8"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0.05*</w:t>
            </w:r>
          </w:p>
          <w:p w14:paraId="0089677C" w14:textId="416A4FCE"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(0.03)</w:t>
            </w:r>
          </w:p>
        </w:tc>
        <w:tc>
          <w:tcPr>
            <w:tcW w:w="1269" w:type="dxa"/>
          </w:tcPr>
          <w:p w14:paraId="3253B758" w14:textId="40EA201B"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0.60***</w:t>
            </w:r>
          </w:p>
          <w:p w14:paraId="50AD86C2" w14:textId="248339ED"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(0.05)</w:t>
            </w:r>
          </w:p>
        </w:tc>
        <w:tc>
          <w:tcPr>
            <w:tcW w:w="1537" w:type="dxa"/>
          </w:tcPr>
          <w:p w14:paraId="2C179303" w14:textId="399F7609"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0.74***</w:t>
            </w:r>
          </w:p>
          <w:p w14:paraId="1F6FA3AC" w14:textId="0E4DE323"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(0.07)</w:t>
            </w:r>
          </w:p>
        </w:tc>
        <w:tc>
          <w:tcPr>
            <w:tcW w:w="1481" w:type="dxa"/>
          </w:tcPr>
          <w:p w14:paraId="18E6BF33" w14:textId="36B8A6A4"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0.74***</w:t>
            </w:r>
          </w:p>
          <w:p w14:paraId="6741C677" w14:textId="28DC1003"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(0.07)</w:t>
            </w:r>
          </w:p>
        </w:tc>
      </w:tr>
      <w:tr w:rsidR="004B7B66" w:rsidRPr="004B7B66" w14:paraId="4AE37605" w14:textId="77777777" w:rsidTr="00D20882">
        <w:trPr>
          <w:trHeight w:val="70"/>
          <w:jc w:val="center"/>
        </w:trPr>
        <w:tc>
          <w:tcPr>
            <w:tcW w:w="1714" w:type="dxa"/>
            <w:shd w:val="clear" w:color="auto" w:fill="auto"/>
            <w:vAlign w:val="center"/>
          </w:tcPr>
          <w:p w14:paraId="625466EE" w14:textId="77777777" w:rsidR="004B7B66" w:rsidRPr="004B7B66" w:rsidRDefault="004B7B66"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Output Gap</w:t>
            </w:r>
          </w:p>
        </w:tc>
        <w:tc>
          <w:tcPr>
            <w:tcW w:w="1402" w:type="dxa"/>
            <w:shd w:val="clear" w:color="auto" w:fill="auto"/>
          </w:tcPr>
          <w:p w14:paraId="5AFD99A4" w14:textId="6136D28D"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-19.58</w:t>
            </w:r>
          </w:p>
          <w:p w14:paraId="4DFC18F8" w14:textId="464ABDF9"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(13.2)</w:t>
            </w:r>
          </w:p>
        </w:tc>
        <w:tc>
          <w:tcPr>
            <w:tcW w:w="1269" w:type="dxa"/>
            <w:shd w:val="clear" w:color="auto" w:fill="auto"/>
          </w:tcPr>
          <w:p w14:paraId="5B56CD9D" w14:textId="4EB0E8B2"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-0.89</w:t>
            </w:r>
          </w:p>
          <w:p w14:paraId="2C1AF2FA" w14:textId="5448A89E"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(1.04)</w:t>
            </w:r>
          </w:p>
        </w:tc>
        <w:tc>
          <w:tcPr>
            <w:tcW w:w="1269" w:type="dxa"/>
          </w:tcPr>
          <w:p w14:paraId="20E82CBA" w14:textId="4C3F5BD7"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-16.1*</w:t>
            </w:r>
          </w:p>
          <w:p w14:paraId="06088F20" w14:textId="370612ED"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(8.78)</w:t>
            </w:r>
          </w:p>
        </w:tc>
        <w:tc>
          <w:tcPr>
            <w:tcW w:w="1537" w:type="dxa"/>
          </w:tcPr>
          <w:p w14:paraId="116770E8" w14:textId="6BB0B2E7"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-17.</w:t>
            </w:r>
            <w:r w:rsidR="00720EE9">
              <w:rPr>
                <w:rFonts w:ascii="Times New Roman" w:hAnsi="Times New Roman" w:cs="Times New Roman"/>
                <w:sz w:val="20"/>
                <w:szCs w:val="20"/>
              </w:rPr>
              <w:t>1</w:t>
            </w:r>
          </w:p>
          <w:p w14:paraId="48632330" w14:textId="6DD5CD5C"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(10.4)</w:t>
            </w:r>
          </w:p>
        </w:tc>
        <w:tc>
          <w:tcPr>
            <w:tcW w:w="1481" w:type="dxa"/>
          </w:tcPr>
          <w:p w14:paraId="1E49B70A" w14:textId="5166745B"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-17.</w:t>
            </w:r>
            <w:r w:rsidR="00720EE9">
              <w:rPr>
                <w:rFonts w:ascii="Times New Roman" w:hAnsi="Times New Roman" w:cs="Times New Roman"/>
                <w:sz w:val="20"/>
                <w:szCs w:val="20"/>
              </w:rPr>
              <w:t>1</w:t>
            </w:r>
            <w:r w:rsidRPr="004B7B66">
              <w:rPr>
                <w:rFonts w:ascii="Times New Roman" w:hAnsi="Times New Roman" w:cs="Times New Roman"/>
                <w:sz w:val="20"/>
                <w:szCs w:val="20"/>
              </w:rPr>
              <w:t>*</w:t>
            </w:r>
          </w:p>
          <w:p w14:paraId="0CFFC2DE" w14:textId="098238CD"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(10.2)</w:t>
            </w:r>
          </w:p>
        </w:tc>
      </w:tr>
      <w:tr w:rsidR="004B7B66" w:rsidRPr="004B7B66" w14:paraId="244A23B3" w14:textId="77777777" w:rsidTr="00D20882">
        <w:trPr>
          <w:trHeight w:val="70"/>
          <w:jc w:val="center"/>
        </w:trPr>
        <w:tc>
          <w:tcPr>
            <w:tcW w:w="1714" w:type="dxa"/>
            <w:shd w:val="clear" w:color="auto" w:fill="auto"/>
            <w:vAlign w:val="center"/>
          </w:tcPr>
          <w:p w14:paraId="13338093" w14:textId="77777777" w:rsidR="004B7B66" w:rsidRPr="004B7B66" w:rsidRDefault="004B7B66"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Money per GDP</w:t>
            </w:r>
          </w:p>
        </w:tc>
        <w:tc>
          <w:tcPr>
            <w:tcW w:w="1402" w:type="dxa"/>
            <w:shd w:val="clear" w:color="auto" w:fill="auto"/>
          </w:tcPr>
          <w:p w14:paraId="39D84A50" w14:textId="515A7153"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-0.18***</w:t>
            </w:r>
          </w:p>
          <w:p w14:paraId="39A7C0C5" w14:textId="28FE5C11"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(0.02)</w:t>
            </w:r>
          </w:p>
        </w:tc>
        <w:tc>
          <w:tcPr>
            <w:tcW w:w="1269" w:type="dxa"/>
            <w:shd w:val="clear" w:color="auto" w:fill="auto"/>
          </w:tcPr>
          <w:p w14:paraId="739B1A02" w14:textId="5512C4A5"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-0.03</w:t>
            </w:r>
          </w:p>
          <w:p w14:paraId="2041B3C4" w14:textId="6D60DD58"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(0.02)</w:t>
            </w:r>
          </w:p>
        </w:tc>
        <w:tc>
          <w:tcPr>
            <w:tcW w:w="1269" w:type="dxa"/>
          </w:tcPr>
          <w:p w14:paraId="139A358E" w14:textId="1BE7F603"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-0.09***</w:t>
            </w:r>
          </w:p>
          <w:p w14:paraId="1E0549C7" w14:textId="1933FEDB"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(0.01)</w:t>
            </w:r>
          </w:p>
        </w:tc>
        <w:tc>
          <w:tcPr>
            <w:tcW w:w="1537" w:type="dxa"/>
          </w:tcPr>
          <w:p w14:paraId="4BEC0BD1" w14:textId="6BA23EF2"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-0.12***</w:t>
            </w:r>
          </w:p>
          <w:p w14:paraId="398E376E" w14:textId="5768BBF5"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(0.02)</w:t>
            </w:r>
          </w:p>
        </w:tc>
        <w:tc>
          <w:tcPr>
            <w:tcW w:w="1481" w:type="dxa"/>
          </w:tcPr>
          <w:p w14:paraId="1FF13D05" w14:textId="4F4B797A"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-0.12***</w:t>
            </w:r>
          </w:p>
          <w:p w14:paraId="04BEBC4A" w14:textId="577820E2"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(0.02)</w:t>
            </w:r>
          </w:p>
        </w:tc>
      </w:tr>
      <w:tr w:rsidR="004B7B66" w:rsidRPr="004B7B66" w14:paraId="55D25EA4" w14:textId="77777777" w:rsidTr="00D20882">
        <w:trPr>
          <w:trHeight w:val="70"/>
          <w:jc w:val="center"/>
        </w:trPr>
        <w:tc>
          <w:tcPr>
            <w:tcW w:w="1714" w:type="dxa"/>
            <w:shd w:val="clear" w:color="auto" w:fill="auto"/>
            <w:vAlign w:val="center"/>
          </w:tcPr>
          <w:p w14:paraId="4B484213" w14:textId="77777777" w:rsidR="004B7B66" w:rsidRPr="004B7B66" w:rsidRDefault="004B7B66"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Credit Gap</w:t>
            </w:r>
          </w:p>
        </w:tc>
        <w:tc>
          <w:tcPr>
            <w:tcW w:w="1402" w:type="dxa"/>
            <w:shd w:val="clear" w:color="auto" w:fill="auto"/>
          </w:tcPr>
          <w:p w14:paraId="2E1BA7A6" w14:textId="2805218F"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0.14***</w:t>
            </w:r>
          </w:p>
          <w:p w14:paraId="75FB4F7D" w14:textId="605938E4"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(0.04)</w:t>
            </w:r>
          </w:p>
        </w:tc>
        <w:tc>
          <w:tcPr>
            <w:tcW w:w="1269" w:type="dxa"/>
            <w:shd w:val="clear" w:color="auto" w:fill="auto"/>
          </w:tcPr>
          <w:p w14:paraId="4525537D" w14:textId="33AF0506"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720EE9">
              <w:rPr>
                <w:rFonts w:ascii="Times New Roman" w:hAnsi="Times New Roman" w:cs="Times New Roman"/>
                <w:sz w:val="20"/>
                <w:szCs w:val="20"/>
              </w:rPr>
              <w:t>1</w:t>
            </w:r>
          </w:p>
          <w:p w14:paraId="4400BD99" w14:textId="13386471"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w:t>
            </w:r>
            <w:r w:rsidR="00720EE9">
              <w:rPr>
                <w:rFonts w:ascii="Times New Roman" w:hAnsi="Times New Roman" w:cs="Times New Roman"/>
                <w:sz w:val="20"/>
                <w:szCs w:val="20"/>
              </w:rPr>
              <w:t>1</w:t>
            </w:r>
            <w:r w:rsidRPr="004B7B66">
              <w:rPr>
                <w:rFonts w:ascii="Times New Roman" w:hAnsi="Times New Roman" w:cs="Times New Roman"/>
                <w:sz w:val="20"/>
                <w:szCs w:val="20"/>
              </w:rPr>
              <w:t>)</w:t>
            </w:r>
          </w:p>
        </w:tc>
        <w:tc>
          <w:tcPr>
            <w:tcW w:w="1269" w:type="dxa"/>
          </w:tcPr>
          <w:p w14:paraId="6B767297" w14:textId="33446599"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0.09***</w:t>
            </w:r>
          </w:p>
          <w:p w14:paraId="3A170D28" w14:textId="61D64E4D"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(0.02)</w:t>
            </w:r>
          </w:p>
        </w:tc>
        <w:tc>
          <w:tcPr>
            <w:tcW w:w="1537" w:type="dxa"/>
          </w:tcPr>
          <w:p w14:paraId="21608C94" w14:textId="78DBEF0E"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w:t>
            </w:r>
            <w:r w:rsidR="00720EE9">
              <w:rPr>
                <w:rFonts w:ascii="Times New Roman" w:hAnsi="Times New Roman" w:cs="Times New Roman"/>
                <w:sz w:val="20"/>
                <w:szCs w:val="20"/>
              </w:rPr>
              <w:t>2</w:t>
            </w:r>
            <w:r w:rsidRPr="004B7B66">
              <w:rPr>
                <w:rFonts w:ascii="Times New Roman" w:hAnsi="Times New Roman" w:cs="Times New Roman"/>
                <w:sz w:val="20"/>
                <w:szCs w:val="20"/>
              </w:rPr>
              <w:t>***</w:t>
            </w:r>
          </w:p>
          <w:p w14:paraId="0FFDC377" w14:textId="42436671"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(0.03)</w:t>
            </w:r>
          </w:p>
        </w:tc>
        <w:tc>
          <w:tcPr>
            <w:tcW w:w="1481" w:type="dxa"/>
          </w:tcPr>
          <w:p w14:paraId="15405A77" w14:textId="77777777"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0.1100***</w:t>
            </w:r>
          </w:p>
          <w:p w14:paraId="60DB3D7A" w14:textId="77777777"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(0.0315)</w:t>
            </w:r>
          </w:p>
        </w:tc>
      </w:tr>
      <w:tr w:rsidR="004B7B66" w:rsidRPr="004B7B66" w14:paraId="1F51CD07" w14:textId="77777777" w:rsidTr="00D20882">
        <w:trPr>
          <w:trHeight w:val="70"/>
          <w:jc w:val="center"/>
        </w:trPr>
        <w:tc>
          <w:tcPr>
            <w:tcW w:w="1714" w:type="dxa"/>
            <w:shd w:val="clear" w:color="auto" w:fill="auto"/>
            <w:vAlign w:val="center"/>
          </w:tcPr>
          <w:p w14:paraId="028593F2" w14:textId="77777777" w:rsidR="004B7B66" w:rsidRPr="004B7B66" w:rsidRDefault="004B7B66"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R</w:t>
            </w:r>
            <w:r w:rsidRPr="004B7B66">
              <w:rPr>
                <w:rFonts w:ascii="Times New Roman" w:hAnsi="Times New Roman" w:cs="Times New Roman"/>
                <w:sz w:val="20"/>
                <w:szCs w:val="20"/>
                <w:vertAlign w:val="superscript"/>
              </w:rPr>
              <w:t>2</w:t>
            </w:r>
          </w:p>
        </w:tc>
        <w:tc>
          <w:tcPr>
            <w:tcW w:w="1402" w:type="dxa"/>
            <w:shd w:val="clear" w:color="auto" w:fill="auto"/>
          </w:tcPr>
          <w:p w14:paraId="598960A3" w14:textId="4209B019"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0.69</w:t>
            </w:r>
          </w:p>
        </w:tc>
        <w:tc>
          <w:tcPr>
            <w:tcW w:w="1269" w:type="dxa"/>
            <w:shd w:val="clear" w:color="auto" w:fill="auto"/>
          </w:tcPr>
          <w:p w14:paraId="064D3020" w14:textId="43995BF3"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0.89</w:t>
            </w:r>
          </w:p>
        </w:tc>
        <w:tc>
          <w:tcPr>
            <w:tcW w:w="1269" w:type="dxa"/>
          </w:tcPr>
          <w:p w14:paraId="5A3BFD1C" w14:textId="23F71AD1"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w:t>
            </w:r>
            <w:r w:rsidR="00720EE9">
              <w:rPr>
                <w:rFonts w:ascii="Times New Roman" w:hAnsi="Times New Roman" w:cs="Times New Roman"/>
                <w:sz w:val="20"/>
                <w:szCs w:val="20"/>
              </w:rPr>
              <w:t>1</w:t>
            </w:r>
          </w:p>
        </w:tc>
        <w:tc>
          <w:tcPr>
            <w:tcW w:w="1537" w:type="dxa"/>
          </w:tcPr>
          <w:p w14:paraId="4A6A11EF" w14:textId="09CC7132"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w:t>
            </w:r>
            <w:r w:rsidR="00720EE9">
              <w:rPr>
                <w:rFonts w:ascii="Times New Roman" w:hAnsi="Times New Roman" w:cs="Times New Roman"/>
                <w:sz w:val="20"/>
                <w:szCs w:val="20"/>
              </w:rPr>
              <w:t>8</w:t>
            </w:r>
          </w:p>
        </w:tc>
        <w:tc>
          <w:tcPr>
            <w:tcW w:w="1481" w:type="dxa"/>
          </w:tcPr>
          <w:p w14:paraId="623ED3D7" w14:textId="0AB81BCC"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0.68</w:t>
            </w:r>
          </w:p>
        </w:tc>
      </w:tr>
      <w:tr w:rsidR="004B7B66" w:rsidRPr="004B7B66" w14:paraId="73200EA5" w14:textId="77777777" w:rsidTr="00D20882">
        <w:trPr>
          <w:trHeight w:val="70"/>
          <w:jc w:val="center"/>
        </w:trPr>
        <w:tc>
          <w:tcPr>
            <w:tcW w:w="1714" w:type="dxa"/>
            <w:shd w:val="clear" w:color="auto" w:fill="auto"/>
            <w:vAlign w:val="center"/>
          </w:tcPr>
          <w:p w14:paraId="20334AEE" w14:textId="77777777" w:rsidR="004B7B66" w:rsidRPr="004B7B66" w:rsidRDefault="004B7B66" w:rsidP="004B7B66">
            <w:pPr>
              <w:autoSpaceDE w:val="0"/>
              <w:autoSpaceDN w:val="0"/>
              <w:adjustRightInd w:val="0"/>
              <w:spacing w:after="0" w:line="240" w:lineRule="auto"/>
              <w:jc w:val="both"/>
              <w:rPr>
                <w:rFonts w:ascii="Times New Roman" w:hAnsi="Times New Roman" w:cs="Times New Roman"/>
                <w:sz w:val="20"/>
                <w:szCs w:val="20"/>
              </w:rPr>
            </w:pPr>
            <w:r w:rsidRPr="004B7B66">
              <w:rPr>
                <w:rFonts w:ascii="Times New Roman" w:hAnsi="Times New Roman" w:cs="Times New Roman"/>
                <w:sz w:val="20"/>
                <w:szCs w:val="20"/>
              </w:rPr>
              <w:t>Adjusted R</w:t>
            </w:r>
            <w:r w:rsidRPr="004B7B66">
              <w:rPr>
                <w:rFonts w:ascii="Times New Roman" w:hAnsi="Times New Roman" w:cs="Times New Roman"/>
                <w:sz w:val="20"/>
                <w:szCs w:val="20"/>
                <w:vertAlign w:val="superscript"/>
              </w:rPr>
              <w:t>2</w:t>
            </w:r>
          </w:p>
        </w:tc>
        <w:tc>
          <w:tcPr>
            <w:tcW w:w="1402" w:type="dxa"/>
            <w:shd w:val="clear" w:color="auto" w:fill="auto"/>
          </w:tcPr>
          <w:p w14:paraId="6ACE4794" w14:textId="452DB0B5"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w:t>
            </w:r>
            <w:r w:rsidR="00720EE9">
              <w:rPr>
                <w:rFonts w:ascii="Times New Roman" w:hAnsi="Times New Roman" w:cs="Times New Roman"/>
                <w:sz w:val="20"/>
                <w:szCs w:val="20"/>
              </w:rPr>
              <w:t>7</w:t>
            </w:r>
          </w:p>
        </w:tc>
        <w:tc>
          <w:tcPr>
            <w:tcW w:w="1269" w:type="dxa"/>
            <w:shd w:val="clear" w:color="auto" w:fill="auto"/>
          </w:tcPr>
          <w:p w14:paraId="069CDEAC" w14:textId="7ED13E9B"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0.88</w:t>
            </w:r>
          </w:p>
        </w:tc>
        <w:tc>
          <w:tcPr>
            <w:tcW w:w="1269" w:type="dxa"/>
          </w:tcPr>
          <w:p w14:paraId="4B172129" w14:textId="1712B94E"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0.59</w:t>
            </w:r>
          </w:p>
        </w:tc>
        <w:tc>
          <w:tcPr>
            <w:tcW w:w="1537" w:type="dxa"/>
          </w:tcPr>
          <w:p w14:paraId="515FEFF8" w14:textId="3CC90D0F"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w:t>
            </w:r>
            <w:r w:rsidR="00720EE9">
              <w:rPr>
                <w:rFonts w:ascii="Times New Roman" w:hAnsi="Times New Roman" w:cs="Times New Roman"/>
                <w:sz w:val="20"/>
                <w:szCs w:val="20"/>
              </w:rPr>
              <w:t>6</w:t>
            </w:r>
          </w:p>
        </w:tc>
        <w:tc>
          <w:tcPr>
            <w:tcW w:w="1481" w:type="dxa"/>
          </w:tcPr>
          <w:p w14:paraId="6885E145" w14:textId="620E4ABB" w:rsidR="004B7B66" w:rsidRPr="004B7B66" w:rsidRDefault="004B7B66" w:rsidP="00F7705D">
            <w:pPr>
              <w:autoSpaceDE w:val="0"/>
              <w:autoSpaceDN w:val="0"/>
              <w:adjustRightInd w:val="0"/>
              <w:spacing w:after="0" w:line="240" w:lineRule="auto"/>
              <w:jc w:val="center"/>
              <w:rPr>
                <w:rFonts w:ascii="Times New Roman" w:hAnsi="Times New Roman" w:cs="Times New Roman"/>
                <w:sz w:val="20"/>
                <w:szCs w:val="20"/>
              </w:rPr>
            </w:pPr>
            <w:r w:rsidRPr="004B7B66">
              <w:rPr>
                <w:rFonts w:ascii="Times New Roman" w:hAnsi="Times New Roman" w:cs="Times New Roman"/>
                <w:sz w:val="20"/>
                <w:szCs w:val="20"/>
              </w:rPr>
              <w:t>0.66</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8349"/>
      </w:tblGrid>
      <w:tr w:rsidR="003B572A" w14:paraId="78FB08F4" w14:textId="77777777" w:rsidTr="003B572A">
        <w:trPr>
          <w:jc w:val="center"/>
        </w:trPr>
        <w:tc>
          <w:tcPr>
            <w:tcW w:w="597" w:type="dxa"/>
          </w:tcPr>
          <w:p w14:paraId="29E07391" w14:textId="26C23EAC" w:rsidR="003B572A" w:rsidRDefault="003B572A" w:rsidP="003B572A">
            <w:pPr>
              <w:pStyle w:val="ListParagraph"/>
              <w:tabs>
                <w:tab w:val="left" w:pos="426"/>
              </w:tabs>
              <w:kinsoku w:val="0"/>
              <w:overflowPunct w:val="0"/>
              <w:autoSpaceDE w:val="0"/>
              <w:autoSpaceDN w:val="0"/>
              <w:ind w:left="0"/>
              <w:jc w:val="both"/>
              <w:rPr>
                <w:rFonts w:ascii="Times New Roman" w:eastAsia="Palatino Linotype" w:hAnsi="Times New Roman" w:cs="Times New Roman"/>
                <w:b/>
                <w:bCs/>
                <w:sz w:val="14"/>
                <w:szCs w:val="18"/>
              </w:rPr>
            </w:pPr>
            <w:r w:rsidRPr="00736B8D">
              <w:rPr>
                <w:rFonts w:ascii="Times New Roman" w:eastAsia="Palatino Linotype" w:hAnsi="Times New Roman" w:cs="Times New Roman"/>
                <w:b/>
                <w:bCs/>
                <w:sz w:val="14"/>
                <w:szCs w:val="18"/>
              </w:rPr>
              <w:t>Notes:</w:t>
            </w:r>
          </w:p>
        </w:tc>
        <w:tc>
          <w:tcPr>
            <w:tcW w:w="8349" w:type="dxa"/>
          </w:tcPr>
          <w:p w14:paraId="07E10818" w14:textId="17F6BA7F" w:rsidR="003B572A" w:rsidRPr="003B572A" w:rsidRDefault="003B572A" w:rsidP="003B572A">
            <w:pPr>
              <w:pStyle w:val="ListParagraph"/>
              <w:numPr>
                <w:ilvl w:val="0"/>
                <w:numId w:val="16"/>
              </w:numPr>
              <w:tabs>
                <w:tab w:val="left" w:pos="152"/>
              </w:tabs>
              <w:kinsoku w:val="0"/>
              <w:overflowPunct w:val="0"/>
              <w:autoSpaceDE w:val="0"/>
              <w:autoSpaceDN w:val="0"/>
              <w:ind w:left="332"/>
              <w:jc w:val="both"/>
              <w:rPr>
                <w:rFonts w:ascii="Times New Roman" w:hAnsi="Times New Roman" w:cs="Times New Roman"/>
                <w:sz w:val="14"/>
                <w:szCs w:val="18"/>
              </w:rPr>
            </w:pPr>
            <w:r w:rsidRPr="003B572A">
              <w:rPr>
                <w:rFonts w:ascii="Times New Roman" w:hAnsi="Times New Roman" w:cs="Times New Roman"/>
                <w:sz w:val="14"/>
                <w:szCs w:val="18"/>
              </w:rPr>
              <w:t xml:space="preserve">The symbols </w:t>
            </w:r>
            <w:r w:rsidRPr="003B572A">
              <w:rPr>
                <w:rFonts w:ascii="Times New Roman" w:hAnsi="Times New Roman" w:cs="Times New Roman"/>
                <w:color w:val="000000"/>
                <w:sz w:val="14"/>
                <w:szCs w:val="18"/>
                <w:lang w:val="en-ID" w:eastAsia="en-ID"/>
              </w:rPr>
              <w:t>*, and *** denote statistical significance at 10 per cent, and 1 per cent respectively.</w:t>
            </w:r>
          </w:p>
          <w:p w14:paraId="5F002CC6" w14:textId="2972B5F4" w:rsidR="003B572A" w:rsidRPr="003B572A" w:rsidRDefault="003B572A" w:rsidP="003B572A">
            <w:pPr>
              <w:pStyle w:val="ListParagraph"/>
              <w:numPr>
                <w:ilvl w:val="0"/>
                <w:numId w:val="16"/>
              </w:numPr>
              <w:tabs>
                <w:tab w:val="left" w:pos="152"/>
              </w:tabs>
              <w:kinsoku w:val="0"/>
              <w:overflowPunct w:val="0"/>
              <w:autoSpaceDE w:val="0"/>
              <w:autoSpaceDN w:val="0"/>
              <w:adjustRightInd w:val="0"/>
              <w:ind w:left="332"/>
              <w:jc w:val="both"/>
              <w:rPr>
                <w:rFonts w:ascii="Times New Roman" w:hAnsi="Times New Roman" w:cs="Times New Roman"/>
                <w:sz w:val="14"/>
                <w:szCs w:val="18"/>
              </w:rPr>
            </w:pPr>
            <w:r w:rsidRPr="003B572A">
              <w:rPr>
                <w:rFonts w:ascii="Times New Roman" w:hAnsi="Times New Roman" w:cs="Times New Roman"/>
                <w:sz w:val="14"/>
                <w:szCs w:val="18"/>
              </w:rPr>
              <w:t>IDR-USD Volatility is Indonesia Rupiah to US Dollar volatility.</w:t>
            </w:r>
          </w:p>
          <w:p w14:paraId="24C2A0A4" w14:textId="77777777" w:rsidR="003B572A" w:rsidRPr="003B572A" w:rsidRDefault="003B572A" w:rsidP="003B572A">
            <w:pPr>
              <w:pStyle w:val="ListParagraph"/>
              <w:numPr>
                <w:ilvl w:val="0"/>
                <w:numId w:val="16"/>
              </w:numPr>
              <w:tabs>
                <w:tab w:val="left" w:pos="152"/>
              </w:tabs>
              <w:kinsoku w:val="0"/>
              <w:overflowPunct w:val="0"/>
              <w:autoSpaceDE w:val="0"/>
              <w:autoSpaceDN w:val="0"/>
              <w:adjustRightInd w:val="0"/>
              <w:ind w:left="332"/>
              <w:jc w:val="both"/>
              <w:rPr>
                <w:rFonts w:ascii="Times New Roman" w:hAnsi="Times New Roman" w:cs="Times New Roman"/>
                <w:sz w:val="14"/>
                <w:szCs w:val="18"/>
              </w:rPr>
            </w:pPr>
            <w:r w:rsidRPr="003B572A">
              <w:rPr>
                <w:rFonts w:ascii="Times New Roman" w:hAnsi="Times New Roman" w:cs="Times New Roman"/>
                <w:sz w:val="14"/>
                <w:szCs w:val="18"/>
              </w:rPr>
              <w:t>IDR-SGD Volatility is Indonesia Rupiah to Singapore Dollar volatility.</w:t>
            </w:r>
          </w:p>
          <w:p w14:paraId="59997EF4" w14:textId="77777777" w:rsidR="003B572A" w:rsidRPr="003B572A" w:rsidRDefault="003B572A" w:rsidP="003B572A">
            <w:pPr>
              <w:pStyle w:val="ListParagraph"/>
              <w:numPr>
                <w:ilvl w:val="0"/>
                <w:numId w:val="16"/>
              </w:numPr>
              <w:tabs>
                <w:tab w:val="left" w:pos="152"/>
              </w:tabs>
              <w:kinsoku w:val="0"/>
              <w:overflowPunct w:val="0"/>
              <w:autoSpaceDE w:val="0"/>
              <w:autoSpaceDN w:val="0"/>
              <w:adjustRightInd w:val="0"/>
              <w:ind w:left="332"/>
              <w:jc w:val="both"/>
              <w:rPr>
                <w:rFonts w:ascii="Times New Roman" w:hAnsi="Times New Roman" w:cs="Times New Roman"/>
                <w:sz w:val="14"/>
                <w:szCs w:val="18"/>
              </w:rPr>
            </w:pPr>
            <w:r w:rsidRPr="003B572A">
              <w:rPr>
                <w:rFonts w:ascii="Times New Roman" w:hAnsi="Times New Roman" w:cs="Times New Roman"/>
                <w:sz w:val="14"/>
                <w:szCs w:val="18"/>
              </w:rPr>
              <w:t>IDR-AUD Volatility is Indonesia Rupiah to Australia Dollar volatility.</w:t>
            </w:r>
          </w:p>
          <w:p w14:paraId="70A84C80" w14:textId="77777777" w:rsidR="003B572A" w:rsidRPr="003B572A" w:rsidRDefault="003B572A" w:rsidP="003B572A">
            <w:pPr>
              <w:pStyle w:val="ListParagraph"/>
              <w:numPr>
                <w:ilvl w:val="0"/>
                <w:numId w:val="16"/>
              </w:numPr>
              <w:tabs>
                <w:tab w:val="left" w:pos="152"/>
              </w:tabs>
              <w:kinsoku w:val="0"/>
              <w:overflowPunct w:val="0"/>
              <w:autoSpaceDE w:val="0"/>
              <w:autoSpaceDN w:val="0"/>
              <w:adjustRightInd w:val="0"/>
              <w:ind w:left="332"/>
              <w:jc w:val="both"/>
              <w:rPr>
                <w:rFonts w:ascii="Times New Roman" w:hAnsi="Times New Roman" w:cs="Times New Roman"/>
                <w:sz w:val="14"/>
                <w:szCs w:val="18"/>
              </w:rPr>
            </w:pPr>
            <w:r w:rsidRPr="003B572A">
              <w:rPr>
                <w:rFonts w:ascii="Times New Roman" w:hAnsi="Times New Roman" w:cs="Times New Roman"/>
                <w:sz w:val="14"/>
                <w:szCs w:val="18"/>
              </w:rPr>
              <w:t>IDR-GBP Volatility is Indonesia Rupiah to US British Pound Sterling volatility.</w:t>
            </w:r>
          </w:p>
          <w:p w14:paraId="22BE48C9" w14:textId="12B81628" w:rsidR="003B572A" w:rsidRPr="003B572A" w:rsidRDefault="003B572A" w:rsidP="003B572A">
            <w:pPr>
              <w:pStyle w:val="ListParagraph"/>
              <w:numPr>
                <w:ilvl w:val="0"/>
                <w:numId w:val="16"/>
              </w:numPr>
              <w:tabs>
                <w:tab w:val="left" w:pos="152"/>
              </w:tabs>
              <w:kinsoku w:val="0"/>
              <w:overflowPunct w:val="0"/>
              <w:autoSpaceDE w:val="0"/>
              <w:autoSpaceDN w:val="0"/>
              <w:adjustRightInd w:val="0"/>
              <w:ind w:left="332"/>
              <w:jc w:val="both"/>
              <w:rPr>
                <w:rFonts w:ascii="Times New Roman" w:hAnsi="Times New Roman" w:cs="Times New Roman"/>
                <w:sz w:val="14"/>
                <w:szCs w:val="18"/>
              </w:rPr>
            </w:pPr>
            <w:r w:rsidRPr="003B572A">
              <w:rPr>
                <w:rFonts w:ascii="Times New Roman" w:hAnsi="Times New Roman" w:cs="Times New Roman"/>
                <w:sz w:val="14"/>
                <w:szCs w:val="18"/>
              </w:rPr>
              <w:t>IDR-EURO Volatility is Indonesia Rupiah to EURO volatility.</w:t>
            </w:r>
          </w:p>
        </w:tc>
      </w:tr>
    </w:tbl>
    <w:p w14:paraId="6C61A1CD" w14:textId="77777777" w:rsidR="003B572A" w:rsidRPr="003B572A" w:rsidRDefault="003B572A" w:rsidP="005F419F">
      <w:pPr>
        <w:pStyle w:val="ListParagraph"/>
        <w:tabs>
          <w:tab w:val="left" w:pos="426"/>
        </w:tabs>
        <w:kinsoku w:val="0"/>
        <w:overflowPunct w:val="0"/>
        <w:autoSpaceDE w:val="0"/>
        <w:autoSpaceDN w:val="0"/>
        <w:spacing w:after="0" w:line="240" w:lineRule="auto"/>
        <w:ind w:left="284"/>
        <w:jc w:val="both"/>
        <w:rPr>
          <w:rFonts w:ascii="Times New Roman" w:eastAsia="Palatino Linotype" w:hAnsi="Times New Roman" w:cs="Times New Roman"/>
          <w:b/>
          <w:bCs/>
          <w:sz w:val="20"/>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764688" w14:paraId="60BEF9F3" w14:textId="77777777" w:rsidTr="00764688">
        <w:tc>
          <w:tcPr>
            <w:tcW w:w="9912" w:type="dxa"/>
          </w:tcPr>
          <w:p w14:paraId="700EE604" w14:textId="77777777" w:rsidR="00764688" w:rsidRDefault="00886B47" w:rsidP="004B7B66">
            <w:pPr>
              <w:autoSpaceDE w:val="0"/>
              <w:autoSpaceDN w:val="0"/>
              <w:adjustRightInd w:val="0"/>
              <w:jc w:val="both"/>
            </w:pPr>
            <w:r>
              <w:rPr>
                <w:noProof/>
              </w:rPr>
              <w:object w:dxaOrig="17820" w:dyaOrig="9600" w14:anchorId="54168517">
                <v:shape id="_x0000_i1029" type="#_x0000_t75" alt="" style="width:483pt;height:261pt;mso-width-percent:0;mso-height-percent:0;mso-width-percent:0;mso-height-percent:0" o:ole="">
                  <v:imagedata r:id="rId25" o:title=""/>
                </v:shape>
                <o:OLEObject Type="Embed" ProgID="PBrush" ShapeID="_x0000_i1029" DrawAspect="Content" ObjectID="_1731741832" r:id="rId26"/>
              </w:object>
            </w:r>
          </w:p>
          <w:p w14:paraId="2091E9C5" w14:textId="3EB92D9B" w:rsidR="00764688" w:rsidRDefault="00886B47" w:rsidP="004B7B66">
            <w:pPr>
              <w:autoSpaceDE w:val="0"/>
              <w:autoSpaceDN w:val="0"/>
              <w:adjustRightInd w:val="0"/>
              <w:jc w:val="both"/>
            </w:pPr>
            <w:r>
              <w:rPr>
                <w:noProof/>
              </w:rPr>
              <w:object w:dxaOrig="15570" w:dyaOrig="12915" w14:anchorId="3930DBD5">
                <v:shape id="_x0000_i1030" type="#_x0000_t75" alt="" style="width:483pt;height:371.25pt;mso-width-percent:0;mso-height-percent:0;mso-width-percent:0;mso-height-percent:0" o:ole="">
                  <v:imagedata r:id="rId27" o:title=""/>
                </v:shape>
                <o:OLEObject Type="Embed" ProgID="PBrush" ShapeID="_x0000_i1030" DrawAspect="Content" ObjectID="_1731741833" r:id="rId28"/>
              </w:object>
            </w:r>
          </w:p>
          <w:p w14:paraId="18C1DFC5" w14:textId="77777777" w:rsidR="00764688" w:rsidRPr="007C6DEB" w:rsidRDefault="00764688" w:rsidP="00764688">
            <w:pPr>
              <w:autoSpaceDE w:val="0"/>
              <w:autoSpaceDN w:val="0"/>
              <w:adjustRightInd w:val="0"/>
              <w:jc w:val="both"/>
              <w:rPr>
                <w:rFonts w:ascii="Times New Roman" w:hAnsi="Times New Roman" w:cs="Times New Roman"/>
                <w:sz w:val="16"/>
                <w:szCs w:val="20"/>
              </w:rPr>
            </w:pPr>
            <w:r w:rsidRPr="007C6DEB">
              <w:rPr>
                <w:rFonts w:ascii="Times New Roman" w:hAnsi="Times New Roman" w:cs="Times New Roman"/>
                <w:b/>
                <w:sz w:val="16"/>
                <w:szCs w:val="20"/>
              </w:rPr>
              <w:t>Figure 2.</w:t>
            </w:r>
            <w:r w:rsidRPr="007C6DEB">
              <w:rPr>
                <w:rFonts w:ascii="Times New Roman" w:hAnsi="Times New Roman" w:cs="Times New Roman"/>
                <w:sz w:val="16"/>
                <w:szCs w:val="20"/>
              </w:rPr>
              <w:t xml:space="preserve"> </w:t>
            </w:r>
          </w:p>
          <w:p w14:paraId="3E4B1059" w14:textId="308285FF" w:rsidR="00764688" w:rsidRPr="00764688" w:rsidRDefault="00764688" w:rsidP="004B7B66">
            <w:pPr>
              <w:autoSpaceDE w:val="0"/>
              <w:autoSpaceDN w:val="0"/>
              <w:adjustRightInd w:val="0"/>
              <w:jc w:val="both"/>
              <w:rPr>
                <w:rFonts w:ascii="Times New Roman" w:hAnsi="Times New Roman" w:cs="Times New Roman"/>
                <w:sz w:val="16"/>
                <w:szCs w:val="20"/>
              </w:rPr>
            </w:pPr>
            <w:r w:rsidRPr="007C6DEB">
              <w:rPr>
                <w:rFonts w:ascii="Times New Roman" w:hAnsi="Times New Roman" w:cs="Times New Roman"/>
                <w:sz w:val="16"/>
                <w:szCs w:val="20"/>
              </w:rPr>
              <w:t>CUSUM and CUSUMSQ tests.</w:t>
            </w:r>
          </w:p>
        </w:tc>
      </w:tr>
    </w:tbl>
    <w:p w14:paraId="129328E2" w14:textId="77777777" w:rsidR="00764688" w:rsidRPr="004B7B66" w:rsidRDefault="00764688" w:rsidP="004B7B66">
      <w:pPr>
        <w:autoSpaceDE w:val="0"/>
        <w:autoSpaceDN w:val="0"/>
        <w:adjustRightInd w:val="0"/>
        <w:spacing w:after="0" w:line="240" w:lineRule="auto"/>
        <w:jc w:val="both"/>
        <w:rPr>
          <w:rFonts w:ascii="Times New Roman" w:hAnsi="Times New Roman" w:cs="Times New Roman"/>
          <w:sz w:val="20"/>
          <w:szCs w:val="20"/>
        </w:rPr>
      </w:pPr>
    </w:p>
    <w:p w14:paraId="6435201D" w14:textId="2A71AD1D" w:rsidR="004B7B66" w:rsidRPr="004B7B66" w:rsidRDefault="004B7B66" w:rsidP="007C6DEB">
      <w:pPr>
        <w:autoSpaceDE w:val="0"/>
        <w:autoSpaceDN w:val="0"/>
        <w:adjustRightInd w:val="0"/>
        <w:spacing w:after="0" w:line="240" w:lineRule="auto"/>
        <w:ind w:firstLine="360"/>
        <w:jc w:val="both"/>
        <w:rPr>
          <w:rFonts w:ascii="Times New Roman" w:hAnsi="Times New Roman" w:cs="Times New Roman"/>
          <w:sz w:val="20"/>
          <w:szCs w:val="20"/>
        </w:rPr>
      </w:pPr>
      <w:r w:rsidRPr="004B7B66">
        <w:rPr>
          <w:rFonts w:ascii="Times New Roman" w:hAnsi="Times New Roman" w:cs="Times New Roman"/>
          <w:sz w:val="20"/>
          <w:szCs w:val="20"/>
        </w:rPr>
        <w:t xml:space="preserve">The fully modified ordinary least square estimation was performed to check the robustness of the long-run results obtained from the ARDL estimation. The advantage of this technique can correct the endogeneity bias and serial correlation in the model. Therefore, this estimation allows for standard normal inference </w:t>
      </w:r>
      <w:r w:rsidR="00C64D1F" w:rsidRPr="00C64D1F">
        <w:rPr>
          <w:rFonts w:ascii="Times New Roman" w:hAnsi="Times New Roman" w:cs="Times New Roman"/>
          <w:color w:val="0000CC"/>
          <w:sz w:val="20"/>
          <w:szCs w:val="20"/>
        </w:rPr>
        <w:fldChar w:fldCharType="begin"/>
      </w:r>
      <w:r w:rsidR="00AF2A4C">
        <w:rPr>
          <w:rFonts w:ascii="Times New Roman" w:hAnsi="Times New Roman" w:cs="Times New Roman"/>
          <w:color w:val="0000CC"/>
          <w:sz w:val="20"/>
          <w:szCs w:val="20"/>
        </w:rPr>
        <w:instrText xml:space="preserve"> ADDIN EN.CITE &lt;EndNote&gt;&lt;Cite&gt;&lt;Author&gt;Phillips&lt;/Author&gt;&lt;Year&gt;1990&lt;/Year&gt;&lt;RecNum&gt;28&lt;/RecNum&gt;&lt;DisplayText&gt;[40]&lt;/DisplayText&gt;&lt;record&gt;&lt;rec-number&gt;28&lt;/rec-number&gt;&lt;foreign-keys&gt;&lt;key app="EN" db-id="w02dva9072e097ez0eov2pwr9fvdzpzav5te"&gt;28&lt;/key&gt;&lt;/foreign-keys&gt;&lt;ref-type name="Journal Article"&gt;17&lt;/ref-type&gt;&lt;contributors&gt;&lt;authors&gt;&lt;author&gt;Phillips, Peter CB&lt;/author&gt;&lt;author&gt;Hansen, Bruce E&lt;/author&gt;&lt;/authors&gt;&lt;/contributors&gt;&lt;titles&gt;&lt;title&gt;Statistical inference in instrumental variables regression with I (1) processes&lt;/title&gt;&lt;secondary-title&gt;The Review of Economic Studies&lt;/secondary-title&gt;&lt;/titles&gt;&lt;pages&gt;99-125&lt;/pages&gt;&lt;volume&gt;57&lt;/volume&gt;&lt;number&gt;1&lt;/number&gt;&lt;dates&gt;&lt;year&gt;1990&lt;/year&gt;&lt;/dates&gt;&lt;isbn&gt;1467-937X&lt;/isbn&gt;&lt;urls&gt;&lt;/urls&gt;&lt;electronic-resource-num&gt;https://doi.org/10.2307/2297545&lt;/electronic-resource-num&gt;&lt;/record&gt;&lt;/Cite&gt;&lt;/EndNote&gt;</w:instrText>
      </w:r>
      <w:r w:rsidR="00C64D1F" w:rsidRPr="00C64D1F">
        <w:rPr>
          <w:rFonts w:ascii="Times New Roman" w:hAnsi="Times New Roman" w:cs="Times New Roman"/>
          <w:color w:val="0000CC"/>
          <w:sz w:val="20"/>
          <w:szCs w:val="20"/>
        </w:rPr>
        <w:fldChar w:fldCharType="separate"/>
      </w:r>
      <w:r w:rsidR="00C64D1F" w:rsidRPr="00C64D1F">
        <w:rPr>
          <w:rFonts w:ascii="Times New Roman" w:hAnsi="Times New Roman" w:cs="Times New Roman"/>
          <w:noProof/>
          <w:color w:val="0000CC"/>
          <w:sz w:val="20"/>
          <w:szCs w:val="20"/>
        </w:rPr>
        <w:t>[</w:t>
      </w:r>
      <w:hyperlink w:anchor="_ENREF_40" w:tooltip="Phillips, 1990 #28" w:history="1">
        <w:r w:rsidR="00AF2A4C" w:rsidRPr="00C64D1F">
          <w:rPr>
            <w:rFonts w:ascii="Times New Roman" w:hAnsi="Times New Roman" w:cs="Times New Roman"/>
            <w:noProof/>
            <w:color w:val="0000CC"/>
            <w:sz w:val="20"/>
            <w:szCs w:val="20"/>
          </w:rPr>
          <w:t>40</w:t>
        </w:r>
      </w:hyperlink>
      <w:r w:rsidR="00C64D1F" w:rsidRPr="00C64D1F">
        <w:rPr>
          <w:rFonts w:ascii="Times New Roman" w:hAnsi="Times New Roman" w:cs="Times New Roman"/>
          <w:noProof/>
          <w:color w:val="0000CC"/>
          <w:sz w:val="20"/>
          <w:szCs w:val="20"/>
        </w:rPr>
        <w:t>]</w:t>
      </w:r>
      <w:r w:rsidR="00C64D1F" w:rsidRPr="00C64D1F">
        <w:rPr>
          <w:rFonts w:ascii="Times New Roman" w:hAnsi="Times New Roman" w:cs="Times New Roman"/>
          <w:color w:val="0000CC"/>
          <w:sz w:val="20"/>
          <w:szCs w:val="20"/>
        </w:rPr>
        <w:fldChar w:fldCharType="end"/>
      </w:r>
      <w:r w:rsidRPr="004B7B66">
        <w:rPr>
          <w:rFonts w:ascii="Times New Roman" w:hAnsi="Times New Roman" w:cs="Times New Roman"/>
          <w:sz w:val="20"/>
          <w:szCs w:val="20"/>
          <w:shd w:val="clear" w:color="auto" w:fill="FFFFFF"/>
        </w:rPr>
        <w:t xml:space="preserve">. The result of the FMOLS estimation confirmed the significant positive effect of </w:t>
      </w:r>
      <w:r w:rsidR="008F2CD7">
        <w:rPr>
          <w:rFonts w:ascii="Times New Roman" w:hAnsi="Times New Roman" w:cs="Times New Roman"/>
          <w:sz w:val="20"/>
          <w:szCs w:val="20"/>
          <w:shd w:val="clear" w:color="auto" w:fill="FFFFFF"/>
        </w:rPr>
        <w:t xml:space="preserve">the </w:t>
      </w:r>
      <w:r w:rsidRPr="004B7B66">
        <w:rPr>
          <w:rFonts w:ascii="Times New Roman" w:hAnsi="Times New Roman" w:cs="Times New Roman"/>
          <w:sz w:val="20"/>
          <w:szCs w:val="20"/>
          <w:shd w:val="clear" w:color="auto" w:fill="FFFFFF"/>
        </w:rPr>
        <w:t xml:space="preserve">central bank policy rate on exchange rate volatility for all models. This </w:t>
      </w:r>
      <w:r w:rsidRPr="004B7B66">
        <w:rPr>
          <w:rFonts w:ascii="Times New Roman" w:hAnsi="Times New Roman" w:cs="Times New Roman"/>
          <w:sz w:val="20"/>
          <w:szCs w:val="20"/>
          <w:shd w:val="clear" w:color="auto" w:fill="FFFFFF"/>
        </w:rPr>
        <w:lastRenderedPageBreak/>
        <w:t xml:space="preserve">result is in accordance with the result of </w:t>
      </w:r>
      <w:r w:rsidR="008F2CD7">
        <w:rPr>
          <w:rFonts w:ascii="Times New Roman" w:hAnsi="Times New Roman" w:cs="Times New Roman"/>
          <w:sz w:val="20"/>
          <w:szCs w:val="20"/>
          <w:shd w:val="clear" w:color="auto" w:fill="FFFFFF"/>
        </w:rPr>
        <w:t xml:space="preserve">the </w:t>
      </w:r>
      <w:r w:rsidRPr="004B7B66">
        <w:rPr>
          <w:rFonts w:ascii="Times New Roman" w:hAnsi="Times New Roman" w:cs="Times New Roman"/>
          <w:sz w:val="20"/>
          <w:szCs w:val="20"/>
          <w:shd w:val="clear" w:color="auto" w:fill="FFFFFF"/>
        </w:rPr>
        <w:t xml:space="preserve">main estimation using ARDL estimation of the positive relationship between </w:t>
      </w:r>
      <w:r w:rsidR="008F2CD7">
        <w:rPr>
          <w:rFonts w:ascii="Times New Roman" w:hAnsi="Times New Roman" w:cs="Times New Roman"/>
          <w:sz w:val="20"/>
          <w:szCs w:val="20"/>
          <w:shd w:val="clear" w:color="auto" w:fill="FFFFFF"/>
        </w:rPr>
        <w:t xml:space="preserve">the </w:t>
      </w:r>
      <w:r w:rsidRPr="004B7B66">
        <w:rPr>
          <w:rFonts w:ascii="Times New Roman" w:hAnsi="Times New Roman" w:cs="Times New Roman"/>
          <w:sz w:val="20"/>
          <w:szCs w:val="20"/>
          <w:shd w:val="clear" w:color="auto" w:fill="FFFFFF"/>
        </w:rPr>
        <w:t xml:space="preserve">central bank policy rate and exchange rate volatility. </w:t>
      </w:r>
    </w:p>
    <w:p w14:paraId="430EEADA" w14:textId="77777777" w:rsidR="007C6DEB" w:rsidRDefault="007C6DEB" w:rsidP="00776F87">
      <w:pPr>
        <w:pStyle w:val="005ChapterHigh"/>
      </w:pPr>
    </w:p>
    <w:p w14:paraId="651DE27B" w14:textId="7E5A2A52" w:rsidR="004B7B66" w:rsidRPr="004B7B66" w:rsidRDefault="007C6DEB" w:rsidP="00776F87">
      <w:pPr>
        <w:pStyle w:val="005ChapterHigh"/>
      </w:pPr>
      <w:r>
        <w:t xml:space="preserve">5. </w:t>
      </w:r>
      <w:r w:rsidRPr="004B7B66">
        <w:t>Conclusion</w:t>
      </w:r>
    </w:p>
    <w:p w14:paraId="468682BE" w14:textId="4D64BA37" w:rsidR="004B7B66" w:rsidRPr="004B7B66" w:rsidRDefault="004B7B66" w:rsidP="007C6DEB">
      <w:pPr>
        <w:kinsoku w:val="0"/>
        <w:overflowPunct w:val="0"/>
        <w:autoSpaceDE w:val="0"/>
        <w:autoSpaceDN w:val="0"/>
        <w:spacing w:after="0" w:line="240" w:lineRule="auto"/>
        <w:ind w:firstLine="360"/>
        <w:jc w:val="both"/>
        <w:rPr>
          <w:rFonts w:ascii="Times New Roman" w:hAnsi="Times New Roman" w:cs="Times New Roman"/>
          <w:sz w:val="20"/>
          <w:szCs w:val="20"/>
          <w:shd w:val="clear" w:color="auto" w:fill="FFFFFF"/>
        </w:rPr>
      </w:pPr>
      <w:r w:rsidRPr="004B7B66">
        <w:rPr>
          <w:rFonts w:ascii="Times New Roman" w:hAnsi="Times New Roman" w:cs="Times New Roman"/>
          <w:sz w:val="20"/>
          <w:szCs w:val="20"/>
          <w:shd w:val="clear" w:color="auto" w:fill="FFFFFF"/>
        </w:rPr>
        <w:t xml:space="preserve">This study established the short-run and long-run effects of the central bank policy rate on exchange rate volatility in Indonesia for the quarterly data from Q1 1992 to Q4 2019. The Autoregressive Distribution Lag estimation was used to investigate the effect of </w:t>
      </w:r>
      <w:r w:rsidRPr="004B7B66">
        <w:rPr>
          <w:rFonts w:ascii="Times New Roman" w:hAnsi="Times New Roman" w:cs="Times New Roman"/>
          <w:sz w:val="20"/>
          <w:szCs w:val="20"/>
          <w:shd w:val="clear" w:color="FFFFFF" w:fill="FFFFFF"/>
        </w:rPr>
        <w:t xml:space="preserve">independent variables including central bank rate, </w:t>
      </w:r>
      <w:r w:rsidRPr="004B7B66">
        <w:rPr>
          <w:rFonts w:ascii="Times New Roman" w:hAnsi="Times New Roman" w:cs="Times New Roman"/>
          <w:sz w:val="20"/>
          <w:szCs w:val="20"/>
          <w:shd w:val="clear" w:color="auto" w:fill="FFFFFF"/>
        </w:rPr>
        <w:t xml:space="preserve">output gap, money per GDP, and credit gap on ER volatility. Furthermore, ER volatility of </w:t>
      </w:r>
      <w:r w:rsidR="008F2CD7">
        <w:rPr>
          <w:rFonts w:ascii="Times New Roman" w:hAnsi="Times New Roman" w:cs="Times New Roman"/>
          <w:sz w:val="20"/>
          <w:szCs w:val="20"/>
          <w:shd w:val="clear" w:color="auto" w:fill="FFFFFF"/>
        </w:rPr>
        <w:t xml:space="preserve">the </w:t>
      </w:r>
      <w:r w:rsidRPr="004B7B66">
        <w:rPr>
          <w:rFonts w:ascii="Times New Roman" w:hAnsi="Times New Roman" w:cs="Times New Roman"/>
          <w:sz w:val="20"/>
          <w:szCs w:val="20"/>
          <w:shd w:val="clear" w:color="auto" w:fill="FFFFFF"/>
        </w:rPr>
        <w:t xml:space="preserve">Indonesia Rupiah against US, Singapore, and Australian Dollars, as well as </w:t>
      </w:r>
      <w:r w:rsidR="008F2CD7">
        <w:rPr>
          <w:rFonts w:ascii="Times New Roman" w:hAnsi="Times New Roman" w:cs="Times New Roman"/>
          <w:sz w:val="20"/>
          <w:szCs w:val="20"/>
          <w:shd w:val="clear" w:color="auto" w:fill="FFFFFF"/>
        </w:rPr>
        <w:t xml:space="preserve">the </w:t>
      </w:r>
      <w:r w:rsidRPr="004B7B66">
        <w:rPr>
          <w:rFonts w:ascii="Times New Roman" w:hAnsi="Times New Roman" w:cs="Times New Roman"/>
          <w:sz w:val="20"/>
          <w:szCs w:val="20"/>
          <w:shd w:val="clear" w:color="auto" w:fill="FFFFFF"/>
        </w:rPr>
        <w:t xml:space="preserve">Pound Sterling and Euro was developed.  </w:t>
      </w:r>
    </w:p>
    <w:p w14:paraId="315288BE" w14:textId="0365D7CE" w:rsidR="004B7B66" w:rsidRPr="004B7B66" w:rsidRDefault="004B7B66" w:rsidP="007C6DEB">
      <w:pPr>
        <w:kinsoku w:val="0"/>
        <w:overflowPunct w:val="0"/>
        <w:autoSpaceDE w:val="0"/>
        <w:autoSpaceDN w:val="0"/>
        <w:spacing w:after="0" w:line="240" w:lineRule="auto"/>
        <w:ind w:firstLine="360"/>
        <w:jc w:val="both"/>
        <w:rPr>
          <w:rFonts w:ascii="Times New Roman" w:hAnsi="Times New Roman" w:cs="Times New Roman"/>
          <w:sz w:val="20"/>
          <w:szCs w:val="20"/>
          <w:shd w:val="clear" w:color="auto" w:fill="FFFFFF"/>
        </w:rPr>
      </w:pPr>
      <w:r w:rsidRPr="004B7B66">
        <w:rPr>
          <w:rFonts w:ascii="Times New Roman" w:hAnsi="Times New Roman" w:cs="Times New Roman"/>
          <w:sz w:val="20"/>
          <w:szCs w:val="20"/>
          <w:shd w:val="clear" w:color="auto" w:fill="FFFFFF"/>
        </w:rPr>
        <w:t>The results showed the central bank policy rate has a significant effect on exchange rate volatility in Indonesia both in the short and long</w:t>
      </w:r>
      <w:r w:rsidR="00634D93">
        <w:rPr>
          <w:rFonts w:ascii="Times New Roman" w:hAnsi="Times New Roman" w:cs="Times New Roman"/>
          <w:sz w:val="20"/>
          <w:szCs w:val="20"/>
          <w:shd w:val="clear" w:color="auto" w:fill="FFFFFF"/>
        </w:rPr>
        <w:t xml:space="preserve"> </w:t>
      </w:r>
      <w:r w:rsidRPr="004B7B66">
        <w:rPr>
          <w:rFonts w:ascii="Times New Roman" w:hAnsi="Times New Roman" w:cs="Times New Roman"/>
          <w:sz w:val="20"/>
          <w:szCs w:val="20"/>
          <w:shd w:val="clear" w:color="auto" w:fill="FFFFFF"/>
        </w:rPr>
        <w:t xml:space="preserve">run. Furthermore, the output gap and money per GDP have negative effects on ER volatility in the long-term but have insignificant effects in the short term. Moreover, credit gap has a significant positive effect on ER </w:t>
      </w:r>
      <w:r w:rsidRPr="004B7B66">
        <w:rPr>
          <w:rFonts w:ascii="Times New Roman" w:hAnsi="Times New Roman" w:cs="Times New Roman"/>
          <w:sz w:val="20"/>
          <w:szCs w:val="20"/>
          <w:shd w:val="clear" w:color="FFFFFF" w:fill="FFFFFF"/>
        </w:rPr>
        <w:t>volatility in Indonesia both in the short- and long-term</w:t>
      </w:r>
      <w:r w:rsidRPr="004B7B66">
        <w:rPr>
          <w:rFonts w:ascii="Times New Roman" w:hAnsi="Times New Roman" w:cs="Times New Roman"/>
          <w:sz w:val="20"/>
          <w:szCs w:val="20"/>
          <w:shd w:val="clear" w:color="auto" w:fill="FFFFFF"/>
        </w:rPr>
        <w:t>. These results are robust since the FMOLS estimation was used for all five models, it was found that in the long</w:t>
      </w:r>
      <w:r w:rsidR="00634D93">
        <w:rPr>
          <w:rFonts w:ascii="Times New Roman" w:hAnsi="Times New Roman" w:cs="Times New Roman"/>
          <w:sz w:val="20"/>
          <w:szCs w:val="20"/>
          <w:shd w:val="clear" w:color="auto" w:fill="FFFFFF"/>
        </w:rPr>
        <w:t xml:space="preserve"> </w:t>
      </w:r>
      <w:r w:rsidRPr="004B7B66">
        <w:rPr>
          <w:rFonts w:ascii="Times New Roman" w:hAnsi="Times New Roman" w:cs="Times New Roman"/>
          <w:sz w:val="20"/>
          <w:szCs w:val="20"/>
          <w:shd w:val="clear" w:color="auto" w:fill="FFFFFF"/>
        </w:rPr>
        <w:t xml:space="preserve">run, </w:t>
      </w:r>
      <w:r w:rsidR="00634D93">
        <w:rPr>
          <w:rFonts w:ascii="Times New Roman" w:hAnsi="Times New Roman" w:cs="Times New Roman"/>
          <w:sz w:val="20"/>
          <w:szCs w:val="20"/>
          <w:shd w:val="clear" w:color="auto" w:fill="FFFFFF"/>
        </w:rPr>
        <w:t xml:space="preserve">the </w:t>
      </w:r>
      <w:r w:rsidRPr="004B7B66">
        <w:rPr>
          <w:rFonts w:ascii="Times New Roman" w:hAnsi="Times New Roman" w:cs="Times New Roman"/>
          <w:sz w:val="20"/>
          <w:szCs w:val="20"/>
          <w:shd w:val="clear" w:color="auto" w:fill="FFFFFF"/>
        </w:rPr>
        <w:t xml:space="preserve">central bank policy rate has a significant positive effect </w:t>
      </w:r>
      <w:r w:rsidR="009852AA">
        <w:rPr>
          <w:rFonts w:ascii="Times New Roman" w:hAnsi="Times New Roman" w:cs="Times New Roman"/>
          <w:sz w:val="20"/>
          <w:szCs w:val="20"/>
          <w:shd w:val="clear" w:color="auto" w:fill="FFFFFF"/>
        </w:rPr>
        <w:t>on</w:t>
      </w:r>
      <w:r w:rsidRPr="004B7B66">
        <w:rPr>
          <w:rFonts w:ascii="Times New Roman" w:hAnsi="Times New Roman" w:cs="Times New Roman"/>
          <w:sz w:val="20"/>
          <w:szCs w:val="20"/>
          <w:shd w:val="clear" w:color="auto" w:fill="FFFFFF"/>
        </w:rPr>
        <w:t xml:space="preserve"> </w:t>
      </w:r>
      <w:r w:rsidR="00634D93">
        <w:rPr>
          <w:rFonts w:ascii="Times New Roman" w:hAnsi="Times New Roman" w:cs="Times New Roman"/>
          <w:sz w:val="20"/>
          <w:szCs w:val="20"/>
          <w:shd w:val="clear" w:color="auto" w:fill="FFFFFF"/>
        </w:rPr>
        <w:t xml:space="preserve">the </w:t>
      </w:r>
      <w:r w:rsidRPr="004B7B66">
        <w:rPr>
          <w:rFonts w:ascii="Times New Roman" w:hAnsi="Times New Roman" w:cs="Times New Roman"/>
          <w:sz w:val="20"/>
          <w:szCs w:val="20"/>
          <w:shd w:val="clear" w:color="auto" w:fill="FFFFFF"/>
        </w:rPr>
        <w:t xml:space="preserve">volatility </w:t>
      </w:r>
      <w:r w:rsidR="009852AA">
        <w:rPr>
          <w:rFonts w:ascii="Times New Roman" w:hAnsi="Times New Roman" w:cs="Times New Roman"/>
          <w:sz w:val="20"/>
          <w:szCs w:val="20"/>
          <w:shd w:val="clear" w:color="auto" w:fill="FFFFFF"/>
        </w:rPr>
        <w:t xml:space="preserve">of </w:t>
      </w:r>
      <w:r w:rsidR="00634D93">
        <w:rPr>
          <w:rFonts w:ascii="Times New Roman" w:hAnsi="Times New Roman" w:cs="Times New Roman"/>
          <w:sz w:val="20"/>
          <w:szCs w:val="20"/>
          <w:shd w:val="clear" w:color="auto" w:fill="FFFFFF"/>
        </w:rPr>
        <w:t xml:space="preserve">the </w:t>
      </w:r>
      <w:r w:rsidRPr="004B7B66">
        <w:rPr>
          <w:rFonts w:ascii="Times New Roman" w:hAnsi="Times New Roman" w:cs="Times New Roman"/>
          <w:sz w:val="20"/>
          <w:szCs w:val="20"/>
          <w:shd w:val="clear" w:color="auto" w:fill="FFFFFF"/>
        </w:rPr>
        <w:t xml:space="preserve">Indonesia Rupiah against five foreign exchange rates. </w:t>
      </w:r>
    </w:p>
    <w:p w14:paraId="4654B312" w14:textId="02D79F42" w:rsidR="004B7B66" w:rsidRPr="004B7B66" w:rsidRDefault="004B7B66" w:rsidP="007C6DEB">
      <w:pPr>
        <w:kinsoku w:val="0"/>
        <w:overflowPunct w:val="0"/>
        <w:autoSpaceDE w:val="0"/>
        <w:autoSpaceDN w:val="0"/>
        <w:spacing w:after="0" w:line="240" w:lineRule="auto"/>
        <w:ind w:firstLine="360"/>
        <w:jc w:val="both"/>
        <w:rPr>
          <w:rFonts w:ascii="Times New Roman" w:hAnsi="Times New Roman" w:cs="Times New Roman"/>
          <w:sz w:val="20"/>
          <w:szCs w:val="20"/>
          <w:shd w:val="clear" w:color="auto" w:fill="FFFFFF"/>
        </w:rPr>
      </w:pPr>
      <w:r w:rsidRPr="004B7B66">
        <w:rPr>
          <w:rFonts w:ascii="Times New Roman" w:hAnsi="Times New Roman" w:cs="Times New Roman"/>
          <w:sz w:val="20"/>
          <w:szCs w:val="20"/>
          <w:shd w:val="clear" w:color="auto" w:fill="FFFFFF"/>
        </w:rPr>
        <w:t>The implication of these results is that the policymakers need to keep the central bank interest rate low and stable to ensure the Rupiah exchange rate stability. Therefore, to avoid a big change in ER in the long</w:t>
      </w:r>
      <w:r w:rsidR="00634D93">
        <w:rPr>
          <w:rFonts w:ascii="Times New Roman" w:hAnsi="Times New Roman" w:cs="Times New Roman"/>
          <w:sz w:val="20"/>
          <w:szCs w:val="20"/>
          <w:shd w:val="clear" w:color="auto" w:fill="FFFFFF"/>
        </w:rPr>
        <w:t xml:space="preserve"> </w:t>
      </w:r>
      <w:r w:rsidRPr="004B7B66">
        <w:rPr>
          <w:rFonts w:ascii="Times New Roman" w:hAnsi="Times New Roman" w:cs="Times New Roman"/>
          <w:sz w:val="20"/>
          <w:szCs w:val="20"/>
          <w:shd w:val="clear" w:color="auto" w:fill="FFFFFF"/>
        </w:rPr>
        <w:t>term, policymakers need to have careful monetary policy management.</w:t>
      </w:r>
    </w:p>
    <w:p w14:paraId="40502C01" w14:textId="0575F40B" w:rsidR="00764688" w:rsidRDefault="00764688" w:rsidP="00764688">
      <w:pPr>
        <w:kinsoku w:val="0"/>
        <w:overflowPunct w:val="0"/>
        <w:autoSpaceDE w:val="0"/>
        <w:autoSpaceDN w:val="0"/>
        <w:spacing w:after="0" w:line="240" w:lineRule="auto"/>
        <w:jc w:val="both"/>
        <w:rPr>
          <w:rFonts w:ascii="Times New Roman" w:hAnsi="Times New Roman" w:cs="Times New Roman"/>
          <w:sz w:val="20"/>
          <w:szCs w:val="20"/>
        </w:rPr>
      </w:pPr>
    </w:p>
    <w:p w14:paraId="68B21168" w14:textId="4E701354" w:rsidR="004B7B66" w:rsidRPr="00776F87" w:rsidRDefault="007C6DEB" w:rsidP="00776F87">
      <w:pPr>
        <w:pStyle w:val="005ChapterHigh"/>
      </w:pPr>
      <w:r w:rsidRPr="00776F87">
        <w:t>References</w:t>
      </w:r>
    </w:p>
    <w:p w14:paraId="0AE208CB" w14:textId="77777777" w:rsidR="00AF2A4C" w:rsidRPr="00776F87" w:rsidRDefault="00323A06" w:rsidP="00AF2A4C">
      <w:pPr>
        <w:spacing w:after="0" w:line="240" w:lineRule="auto"/>
        <w:ind w:left="720" w:hanging="720"/>
        <w:jc w:val="both"/>
        <w:rPr>
          <w:rFonts w:ascii="Times New Roman" w:hAnsi="Times New Roman" w:cs="Times New Roman"/>
          <w:noProof/>
          <w:color w:val="003399"/>
          <w:sz w:val="18"/>
          <w:szCs w:val="18"/>
          <w:lang w:bidi="ps-AF"/>
        </w:rPr>
      </w:pPr>
      <w:r w:rsidRPr="00776F87">
        <w:rPr>
          <w:rFonts w:ascii="Times New Roman" w:hAnsi="Times New Roman" w:cs="Times New Roman"/>
          <w:color w:val="003399"/>
          <w:sz w:val="18"/>
          <w:szCs w:val="18"/>
          <w:lang w:bidi="ps-AF"/>
        </w:rPr>
        <w:fldChar w:fldCharType="begin"/>
      </w:r>
      <w:r w:rsidRPr="00776F87">
        <w:rPr>
          <w:rFonts w:ascii="Times New Roman" w:hAnsi="Times New Roman" w:cs="Times New Roman"/>
          <w:color w:val="003399"/>
          <w:sz w:val="18"/>
          <w:szCs w:val="18"/>
          <w:lang w:bidi="ps-AF"/>
        </w:rPr>
        <w:instrText xml:space="preserve"> ADDIN EN.REFLIST </w:instrText>
      </w:r>
      <w:r w:rsidRPr="00776F87">
        <w:rPr>
          <w:rFonts w:ascii="Times New Roman" w:hAnsi="Times New Roman" w:cs="Times New Roman"/>
          <w:color w:val="003399"/>
          <w:sz w:val="18"/>
          <w:szCs w:val="18"/>
          <w:lang w:bidi="ps-AF"/>
        </w:rPr>
        <w:fldChar w:fldCharType="separate"/>
      </w:r>
      <w:bookmarkStart w:id="17" w:name="_ENREF_1"/>
      <w:r w:rsidR="00AF2A4C" w:rsidRPr="00776F87">
        <w:rPr>
          <w:rFonts w:ascii="Times New Roman" w:hAnsi="Times New Roman" w:cs="Times New Roman"/>
          <w:noProof/>
          <w:color w:val="003399"/>
          <w:sz w:val="18"/>
          <w:szCs w:val="18"/>
          <w:lang w:bidi="ps-AF"/>
        </w:rPr>
        <w:t>[1]</w:t>
      </w:r>
      <w:r w:rsidR="00AF2A4C" w:rsidRPr="00776F87">
        <w:rPr>
          <w:rFonts w:ascii="Times New Roman" w:hAnsi="Times New Roman" w:cs="Times New Roman"/>
          <w:noProof/>
          <w:color w:val="003399"/>
          <w:sz w:val="18"/>
          <w:szCs w:val="18"/>
          <w:lang w:bidi="ps-AF"/>
        </w:rPr>
        <w:tab/>
        <w:t xml:space="preserve">S. Dow, "Central banking in the twenty-first century," </w:t>
      </w:r>
      <w:r w:rsidR="00AF2A4C" w:rsidRPr="00776F87">
        <w:rPr>
          <w:rFonts w:ascii="Times New Roman" w:hAnsi="Times New Roman" w:cs="Times New Roman"/>
          <w:i/>
          <w:noProof/>
          <w:color w:val="003399"/>
          <w:sz w:val="18"/>
          <w:szCs w:val="18"/>
          <w:lang w:bidi="ps-AF"/>
        </w:rPr>
        <w:t xml:space="preserve">Cambridge Journal of Economics, </w:t>
      </w:r>
      <w:r w:rsidR="00AF2A4C" w:rsidRPr="00776F87">
        <w:rPr>
          <w:rFonts w:ascii="Times New Roman" w:hAnsi="Times New Roman" w:cs="Times New Roman"/>
          <w:noProof/>
          <w:color w:val="003399"/>
          <w:sz w:val="18"/>
          <w:szCs w:val="18"/>
          <w:lang w:bidi="ps-AF"/>
        </w:rPr>
        <w:t>vol. 41, pp. 1539-1557, 2017.Available at: https://doi.org/10.1093/cje/bex051.</w:t>
      </w:r>
      <w:bookmarkEnd w:id="17"/>
    </w:p>
    <w:p w14:paraId="41AB297F"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18" w:name="_ENREF_2"/>
      <w:r w:rsidRPr="00776F87">
        <w:rPr>
          <w:rFonts w:ascii="Times New Roman" w:hAnsi="Times New Roman" w:cs="Times New Roman"/>
          <w:noProof/>
          <w:color w:val="003399"/>
          <w:sz w:val="18"/>
          <w:szCs w:val="18"/>
          <w:lang w:bidi="ps-AF"/>
        </w:rPr>
        <w:t>[2]</w:t>
      </w:r>
      <w:r w:rsidRPr="00776F87">
        <w:rPr>
          <w:rFonts w:ascii="Times New Roman" w:hAnsi="Times New Roman" w:cs="Times New Roman"/>
          <w:noProof/>
          <w:color w:val="003399"/>
          <w:sz w:val="18"/>
          <w:szCs w:val="18"/>
          <w:lang w:bidi="ps-AF"/>
        </w:rPr>
        <w:tab/>
        <w:t xml:space="preserve">M. D. Bordo, "An historical perspective on the quest for financial stability and the monetary policy regime," </w:t>
      </w:r>
      <w:r w:rsidRPr="00776F87">
        <w:rPr>
          <w:rFonts w:ascii="Times New Roman" w:hAnsi="Times New Roman" w:cs="Times New Roman"/>
          <w:i/>
          <w:noProof/>
          <w:color w:val="003399"/>
          <w:sz w:val="18"/>
          <w:szCs w:val="18"/>
          <w:lang w:bidi="ps-AF"/>
        </w:rPr>
        <w:t xml:space="preserve">The Journal of Economic History, </w:t>
      </w:r>
      <w:r w:rsidRPr="00776F87">
        <w:rPr>
          <w:rFonts w:ascii="Times New Roman" w:hAnsi="Times New Roman" w:cs="Times New Roman"/>
          <w:noProof/>
          <w:color w:val="003399"/>
          <w:sz w:val="18"/>
          <w:szCs w:val="18"/>
          <w:lang w:bidi="ps-AF"/>
        </w:rPr>
        <w:t>vol. 78, pp. 319-357, 2018.Available at: https://doi.org/10.1017/s0022050718000281.</w:t>
      </w:r>
      <w:bookmarkEnd w:id="18"/>
    </w:p>
    <w:p w14:paraId="56FEF76A"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19" w:name="_ENREF_3"/>
      <w:r w:rsidRPr="00776F87">
        <w:rPr>
          <w:rFonts w:ascii="Times New Roman" w:hAnsi="Times New Roman" w:cs="Times New Roman"/>
          <w:noProof/>
          <w:color w:val="003399"/>
          <w:sz w:val="18"/>
          <w:szCs w:val="18"/>
          <w:lang w:bidi="ps-AF"/>
        </w:rPr>
        <w:t>[3]</w:t>
      </w:r>
      <w:r w:rsidRPr="00776F87">
        <w:rPr>
          <w:rFonts w:ascii="Times New Roman" w:hAnsi="Times New Roman" w:cs="Times New Roman"/>
          <w:noProof/>
          <w:color w:val="003399"/>
          <w:sz w:val="18"/>
          <w:szCs w:val="18"/>
          <w:lang w:bidi="ps-AF"/>
        </w:rPr>
        <w:tab/>
        <w:t xml:space="preserve">N. Fabris, "Challenges for modern monetary policy," </w:t>
      </w:r>
      <w:r w:rsidRPr="00776F87">
        <w:rPr>
          <w:rFonts w:ascii="Times New Roman" w:hAnsi="Times New Roman" w:cs="Times New Roman"/>
          <w:i/>
          <w:noProof/>
          <w:color w:val="003399"/>
          <w:sz w:val="18"/>
          <w:szCs w:val="18"/>
          <w:lang w:bidi="ps-AF"/>
        </w:rPr>
        <w:t xml:space="preserve">Journal of Central Banking Theory and Practice, </w:t>
      </w:r>
      <w:r w:rsidRPr="00776F87">
        <w:rPr>
          <w:rFonts w:ascii="Times New Roman" w:hAnsi="Times New Roman" w:cs="Times New Roman"/>
          <w:noProof/>
          <w:color w:val="003399"/>
          <w:sz w:val="18"/>
          <w:szCs w:val="18"/>
          <w:lang w:bidi="ps-AF"/>
        </w:rPr>
        <w:t>vol. 7, pp. 5-24, 2018.Available at: https://doi.org/10.2478/jcbtp-2018-0010.</w:t>
      </w:r>
      <w:bookmarkEnd w:id="19"/>
    </w:p>
    <w:p w14:paraId="442AF0F4"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20" w:name="_ENREF_4"/>
      <w:r w:rsidRPr="00776F87">
        <w:rPr>
          <w:rFonts w:ascii="Times New Roman" w:hAnsi="Times New Roman" w:cs="Times New Roman"/>
          <w:noProof/>
          <w:color w:val="003399"/>
          <w:sz w:val="18"/>
          <w:szCs w:val="18"/>
          <w:lang w:bidi="ps-AF"/>
        </w:rPr>
        <w:t>[4]</w:t>
      </w:r>
      <w:r w:rsidRPr="00776F87">
        <w:rPr>
          <w:rFonts w:ascii="Times New Roman" w:hAnsi="Times New Roman" w:cs="Times New Roman"/>
          <w:noProof/>
          <w:color w:val="003399"/>
          <w:sz w:val="18"/>
          <w:szCs w:val="18"/>
          <w:lang w:bidi="ps-AF"/>
        </w:rPr>
        <w:tab/>
        <w:t xml:space="preserve">A. López-Villavicencio and V. Mignon, "Exchange rate pass-through in emerging countries: Do the inflation environment, monetary policy regime and central bank behavior matter?," </w:t>
      </w:r>
      <w:r w:rsidRPr="00776F87">
        <w:rPr>
          <w:rFonts w:ascii="Times New Roman" w:hAnsi="Times New Roman" w:cs="Times New Roman"/>
          <w:i/>
          <w:noProof/>
          <w:color w:val="003399"/>
          <w:sz w:val="18"/>
          <w:szCs w:val="18"/>
          <w:lang w:bidi="ps-AF"/>
        </w:rPr>
        <w:t xml:space="preserve">Journal of International Money and Finance, </w:t>
      </w:r>
      <w:r w:rsidRPr="00776F87">
        <w:rPr>
          <w:rFonts w:ascii="Times New Roman" w:hAnsi="Times New Roman" w:cs="Times New Roman"/>
          <w:noProof/>
          <w:color w:val="003399"/>
          <w:sz w:val="18"/>
          <w:szCs w:val="18"/>
          <w:lang w:bidi="ps-AF"/>
        </w:rPr>
        <w:t>vol. 79, pp. 20-38, 2017.Available at: https://doi.org/10.1016/j.jimonfin.2017.09.004.</w:t>
      </w:r>
      <w:bookmarkEnd w:id="20"/>
    </w:p>
    <w:p w14:paraId="7366346A"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21" w:name="_ENREF_5"/>
      <w:r w:rsidRPr="00776F87">
        <w:rPr>
          <w:rFonts w:ascii="Times New Roman" w:hAnsi="Times New Roman" w:cs="Times New Roman"/>
          <w:noProof/>
          <w:color w:val="003399"/>
          <w:sz w:val="18"/>
          <w:szCs w:val="18"/>
          <w:lang w:bidi="ps-AF"/>
        </w:rPr>
        <w:t>[5]</w:t>
      </w:r>
      <w:r w:rsidRPr="00776F87">
        <w:rPr>
          <w:rFonts w:ascii="Times New Roman" w:hAnsi="Times New Roman" w:cs="Times New Roman"/>
          <w:noProof/>
          <w:color w:val="003399"/>
          <w:sz w:val="18"/>
          <w:szCs w:val="18"/>
          <w:lang w:bidi="ps-AF"/>
        </w:rPr>
        <w:tab/>
        <w:t xml:space="preserve">B. W. Adeoye and O. M. Saibu, "Monetary policy shocks and exchange rate volatility in Nigeria," </w:t>
      </w:r>
      <w:r w:rsidRPr="00776F87">
        <w:rPr>
          <w:rFonts w:ascii="Times New Roman" w:hAnsi="Times New Roman" w:cs="Times New Roman"/>
          <w:i/>
          <w:noProof/>
          <w:color w:val="003399"/>
          <w:sz w:val="18"/>
          <w:szCs w:val="18"/>
          <w:lang w:bidi="ps-AF"/>
        </w:rPr>
        <w:t xml:space="preserve">Asian Economic and Financial Review, </w:t>
      </w:r>
      <w:r w:rsidRPr="00776F87">
        <w:rPr>
          <w:rFonts w:ascii="Times New Roman" w:hAnsi="Times New Roman" w:cs="Times New Roman"/>
          <w:noProof/>
          <w:color w:val="003399"/>
          <w:sz w:val="18"/>
          <w:szCs w:val="18"/>
          <w:lang w:bidi="ps-AF"/>
        </w:rPr>
        <w:t>vol. 4, pp. 544-562, 2014.</w:t>
      </w:r>
      <w:bookmarkEnd w:id="21"/>
    </w:p>
    <w:p w14:paraId="12E89890"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22" w:name="_ENREF_6"/>
      <w:r w:rsidRPr="00776F87">
        <w:rPr>
          <w:rFonts w:ascii="Times New Roman" w:hAnsi="Times New Roman" w:cs="Times New Roman"/>
          <w:noProof/>
          <w:color w:val="003399"/>
          <w:sz w:val="18"/>
          <w:szCs w:val="18"/>
          <w:lang w:bidi="ps-AF"/>
        </w:rPr>
        <w:t>[6]</w:t>
      </w:r>
      <w:r w:rsidRPr="00776F87">
        <w:rPr>
          <w:rFonts w:ascii="Times New Roman" w:hAnsi="Times New Roman" w:cs="Times New Roman"/>
          <w:noProof/>
          <w:color w:val="003399"/>
          <w:sz w:val="18"/>
          <w:szCs w:val="18"/>
          <w:lang w:bidi="ps-AF"/>
        </w:rPr>
        <w:tab/>
        <w:t xml:space="preserve">K. A. Sanusi, "Oil prices asymmetric and exchange rate volatility: Case of oil-exporting emerging countries," </w:t>
      </w:r>
      <w:r w:rsidRPr="00776F87">
        <w:rPr>
          <w:rFonts w:ascii="Times New Roman" w:hAnsi="Times New Roman" w:cs="Times New Roman"/>
          <w:i/>
          <w:noProof/>
          <w:color w:val="003399"/>
          <w:sz w:val="18"/>
          <w:szCs w:val="18"/>
          <w:lang w:bidi="ps-AF"/>
        </w:rPr>
        <w:t xml:space="preserve">Journal of International Studies, </w:t>
      </w:r>
      <w:r w:rsidRPr="00776F87">
        <w:rPr>
          <w:rFonts w:ascii="Times New Roman" w:hAnsi="Times New Roman" w:cs="Times New Roman"/>
          <w:noProof/>
          <w:color w:val="003399"/>
          <w:sz w:val="18"/>
          <w:szCs w:val="18"/>
          <w:lang w:bidi="ps-AF"/>
        </w:rPr>
        <w:t>vol. 13, pp. 101-109, 2020.Available at: https://doi.org/10.14254/2071-8330.2020/13-4/7.</w:t>
      </w:r>
      <w:bookmarkEnd w:id="22"/>
    </w:p>
    <w:p w14:paraId="04A88B6D"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23" w:name="_ENREF_7"/>
      <w:r w:rsidRPr="00776F87">
        <w:rPr>
          <w:rFonts w:ascii="Times New Roman" w:hAnsi="Times New Roman" w:cs="Times New Roman"/>
          <w:noProof/>
          <w:color w:val="003399"/>
          <w:sz w:val="18"/>
          <w:szCs w:val="18"/>
          <w:lang w:bidi="ps-AF"/>
        </w:rPr>
        <w:t>[7]</w:t>
      </w:r>
      <w:r w:rsidRPr="00776F87">
        <w:rPr>
          <w:rFonts w:ascii="Times New Roman" w:hAnsi="Times New Roman" w:cs="Times New Roman"/>
          <w:noProof/>
          <w:color w:val="003399"/>
          <w:sz w:val="18"/>
          <w:szCs w:val="18"/>
          <w:lang w:bidi="ps-AF"/>
        </w:rPr>
        <w:tab/>
        <w:t xml:space="preserve">E. Albagli, L. Ceballos, S. Claro, and D. Romero, "Channels of US monetary policy spillovers to international bond markets," </w:t>
      </w:r>
      <w:r w:rsidRPr="00776F87">
        <w:rPr>
          <w:rFonts w:ascii="Times New Roman" w:hAnsi="Times New Roman" w:cs="Times New Roman"/>
          <w:i/>
          <w:noProof/>
          <w:color w:val="003399"/>
          <w:sz w:val="18"/>
          <w:szCs w:val="18"/>
          <w:lang w:bidi="ps-AF"/>
        </w:rPr>
        <w:t xml:space="preserve">Journal of Financial Economics, </w:t>
      </w:r>
      <w:r w:rsidRPr="00776F87">
        <w:rPr>
          <w:rFonts w:ascii="Times New Roman" w:hAnsi="Times New Roman" w:cs="Times New Roman"/>
          <w:noProof/>
          <w:color w:val="003399"/>
          <w:sz w:val="18"/>
          <w:szCs w:val="18"/>
          <w:lang w:bidi="ps-AF"/>
        </w:rPr>
        <w:t>vol. 134, pp. 447-473, 2019.Available at: https://doi.org/10.1016/j.jfineco.2019.04.007.</w:t>
      </w:r>
      <w:bookmarkEnd w:id="23"/>
    </w:p>
    <w:p w14:paraId="0D92B15D"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24" w:name="_ENREF_8"/>
      <w:r w:rsidRPr="00776F87">
        <w:rPr>
          <w:rFonts w:ascii="Times New Roman" w:hAnsi="Times New Roman" w:cs="Times New Roman"/>
          <w:noProof/>
          <w:color w:val="003399"/>
          <w:sz w:val="18"/>
          <w:szCs w:val="18"/>
          <w:lang w:bidi="ps-AF"/>
        </w:rPr>
        <w:t>[8]</w:t>
      </w:r>
      <w:r w:rsidRPr="00776F87">
        <w:rPr>
          <w:rFonts w:ascii="Times New Roman" w:hAnsi="Times New Roman" w:cs="Times New Roman"/>
          <w:noProof/>
          <w:color w:val="003399"/>
          <w:sz w:val="18"/>
          <w:szCs w:val="18"/>
          <w:lang w:bidi="ps-AF"/>
        </w:rPr>
        <w:tab/>
        <w:t xml:space="preserve">A.-R. Abdul-Rahaman and H. Yao, "Reserves quantity and economic stability: The central bank of Ghana's position and practices," </w:t>
      </w:r>
      <w:r w:rsidRPr="00776F87">
        <w:rPr>
          <w:rFonts w:ascii="Times New Roman" w:hAnsi="Times New Roman" w:cs="Times New Roman"/>
          <w:i/>
          <w:noProof/>
          <w:color w:val="003399"/>
          <w:sz w:val="18"/>
          <w:szCs w:val="18"/>
          <w:lang w:bidi="ps-AF"/>
        </w:rPr>
        <w:t xml:space="preserve">Heliyon, </w:t>
      </w:r>
      <w:r w:rsidRPr="00776F87">
        <w:rPr>
          <w:rFonts w:ascii="Times New Roman" w:hAnsi="Times New Roman" w:cs="Times New Roman"/>
          <w:noProof/>
          <w:color w:val="003399"/>
          <w:sz w:val="18"/>
          <w:szCs w:val="18"/>
          <w:lang w:bidi="ps-AF"/>
        </w:rPr>
        <w:t>vol. 5, p. e02856, 2019.Available at: https://doi.org/10.1016/j.heliyon.2019.e02856.</w:t>
      </w:r>
      <w:bookmarkEnd w:id="24"/>
    </w:p>
    <w:p w14:paraId="00E38AB4"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25" w:name="_ENREF_9"/>
      <w:r w:rsidRPr="00776F87">
        <w:rPr>
          <w:rFonts w:ascii="Times New Roman" w:hAnsi="Times New Roman" w:cs="Times New Roman"/>
          <w:noProof/>
          <w:color w:val="003399"/>
          <w:sz w:val="18"/>
          <w:szCs w:val="18"/>
          <w:lang w:bidi="ps-AF"/>
        </w:rPr>
        <w:t>[9]</w:t>
      </w:r>
      <w:r w:rsidRPr="00776F87">
        <w:rPr>
          <w:rFonts w:ascii="Times New Roman" w:hAnsi="Times New Roman" w:cs="Times New Roman"/>
          <w:noProof/>
          <w:color w:val="003399"/>
          <w:sz w:val="18"/>
          <w:szCs w:val="18"/>
          <w:lang w:bidi="ps-AF"/>
        </w:rPr>
        <w:tab/>
        <w:t xml:space="preserve">M. Rajković, P. Bjelić, D. Jaćimović, and M. Verbič, "The impact of the exchange rate on the foreign trade imbalance during the economic crisis in the new EU member states and the Western Balkan countries," </w:t>
      </w:r>
      <w:r w:rsidRPr="00776F87">
        <w:rPr>
          <w:rFonts w:ascii="Times New Roman" w:hAnsi="Times New Roman" w:cs="Times New Roman"/>
          <w:i/>
          <w:noProof/>
          <w:color w:val="003399"/>
          <w:sz w:val="18"/>
          <w:szCs w:val="18"/>
          <w:lang w:bidi="ps-AF"/>
        </w:rPr>
        <w:t xml:space="preserve">Economic Research, </w:t>
      </w:r>
      <w:r w:rsidRPr="00776F87">
        <w:rPr>
          <w:rFonts w:ascii="Times New Roman" w:hAnsi="Times New Roman" w:cs="Times New Roman"/>
          <w:noProof/>
          <w:color w:val="003399"/>
          <w:sz w:val="18"/>
          <w:szCs w:val="18"/>
          <w:lang w:bidi="ps-AF"/>
        </w:rPr>
        <w:t>vol. 33, pp. 182-203, 2020.Available at: https://doi.org/10.1080/1331677x.2019.1708771.</w:t>
      </w:r>
      <w:bookmarkEnd w:id="25"/>
    </w:p>
    <w:p w14:paraId="7DE9E738"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26" w:name="_ENREF_10"/>
      <w:r w:rsidRPr="00776F87">
        <w:rPr>
          <w:rFonts w:ascii="Times New Roman" w:hAnsi="Times New Roman" w:cs="Times New Roman"/>
          <w:noProof/>
          <w:color w:val="003399"/>
          <w:sz w:val="18"/>
          <w:szCs w:val="18"/>
          <w:lang w:bidi="ps-AF"/>
        </w:rPr>
        <w:t>[10]</w:t>
      </w:r>
      <w:r w:rsidRPr="00776F87">
        <w:rPr>
          <w:rFonts w:ascii="Times New Roman" w:hAnsi="Times New Roman" w:cs="Times New Roman"/>
          <w:noProof/>
          <w:color w:val="003399"/>
          <w:sz w:val="18"/>
          <w:szCs w:val="18"/>
          <w:lang w:bidi="ps-AF"/>
        </w:rPr>
        <w:tab/>
        <w:t xml:space="preserve">F. Syarifuddin, N. A. Achsani, D. B. Hakim, and T. Bakhtiar, "Monetary policy response on exchange rate volatility in Indonesia," </w:t>
      </w:r>
      <w:r w:rsidRPr="00776F87">
        <w:rPr>
          <w:rFonts w:ascii="Times New Roman" w:hAnsi="Times New Roman" w:cs="Times New Roman"/>
          <w:i/>
          <w:noProof/>
          <w:color w:val="003399"/>
          <w:sz w:val="18"/>
          <w:szCs w:val="18"/>
          <w:lang w:bidi="ps-AF"/>
        </w:rPr>
        <w:t xml:space="preserve">Journal of Contemporary Economic and Business Issues, </w:t>
      </w:r>
      <w:r w:rsidRPr="00776F87">
        <w:rPr>
          <w:rFonts w:ascii="Times New Roman" w:hAnsi="Times New Roman" w:cs="Times New Roman"/>
          <w:noProof/>
          <w:color w:val="003399"/>
          <w:sz w:val="18"/>
          <w:szCs w:val="18"/>
          <w:lang w:bidi="ps-AF"/>
        </w:rPr>
        <w:t>vol. 1, pp. 35-54, 2014.</w:t>
      </w:r>
      <w:bookmarkEnd w:id="26"/>
    </w:p>
    <w:p w14:paraId="488E4C54"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27" w:name="_ENREF_11"/>
      <w:r w:rsidRPr="00776F87">
        <w:rPr>
          <w:rFonts w:ascii="Times New Roman" w:hAnsi="Times New Roman" w:cs="Times New Roman"/>
          <w:noProof/>
          <w:color w:val="003399"/>
          <w:sz w:val="18"/>
          <w:szCs w:val="18"/>
          <w:lang w:bidi="ps-AF"/>
        </w:rPr>
        <w:t>[11]</w:t>
      </w:r>
      <w:r w:rsidRPr="00776F87">
        <w:rPr>
          <w:rFonts w:ascii="Times New Roman" w:hAnsi="Times New Roman" w:cs="Times New Roman"/>
          <w:noProof/>
          <w:color w:val="003399"/>
          <w:sz w:val="18"/>
          <w:szCs w:val="18"/>
          <w:lang w:bidi="ps-AF"/>
        </w:rPr>
        <w:tab/>
        <w:t xml:space="preserve">N. Giannellis and A. P. Papadopoulos, "What causes exchange rate volatility? Evidence from selected EMU members and candidates for EMU membership countries," </w:t>
      </w:r>
      <w:r w:rsidRPr="00776F87">
        <w:rPr>
          <w:rFonts w:ascii="Times New Roman" w:hAnsi="Times New Roman" w:cs="Times New Roman"/>
          <w:i/>
          <w:noProof/>
          <w:color w:val="003399"/>
          <w:sz w:val="18"/>
          <w:szCs w:val="18"/>
          <w:lang w:bidi="ps-AF"/>
        </w:rPr>
        <w:t xml:space="preserve">Journal of International Money and Finance, </w:t>
      </w:r>
      <w:r w:rsidRPr="00776F87">
        <w:rPr>
          <w:rFonts w:ascii="Times New Roman" w:hAnsi="Times New Roman" w:cs="Times New Roman"/>
          <w:noProof/>
          <w:color w:val="003399"/>
          <w:sz w:val="18"/>
          <w:szCs w:val="18"/>
          <w:lang w:bidi="ps-AF"/>
        </w:rPr>
        <w:t>vol. 30, pp. 39-61, 2011.Available at: https://doi.org/10.1016/j.jimonfin.2010.07.002.</w:t>
      </w:r>
      <w:bookmarkEnd w:id="27"/>
    </w:p>
    <w:p w14:paraId="0B83961A"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28" w:name="_ENREF_12"/>
      <w:r w:rsidRPr="00776F87">
        <w:rPr>
          <w:rFonts w:ascii="Times New Roman" w:hAnsi="Times New Roman" w:cs="Times New Roman"/>
          <w:noProof/>
          <w:color w:val="003399"/>
          <w:sz w:val="18"/>
          <w:szCs w:val="18"/>
          <w:lang w:bidi="ps-AF"/>
        </w:rPr>
        <w:t>[12]</w:t>
      </w:r>
      <w:r w:rsidRPr="00776F87">
        <w:rPr>
          <w:rFonts w:ascii="Times New Roman" w:hAnsi="Times New Roman" w:cs="Times New Roman"/>
          <w:noProof/>
          <w:color w:val="003399"/>
          <w:sz w:val="18"/>
          <w:szCs w:val="18"/>
          <w:lang w:bidi="ps-AF"/>
        </w:rPr>
        <w:tab/>
        <w:t xml:space="preserve">Z. Kilicarslan, "Determinants of exchange rate volatility: Empirical evidence for Turkey," </w:t>
      </w:r>
      <w:r w:rsidRPr="00776F87">
        <w:rPr>
          <w:rFonts w:ascii="Times New Roman" w:hAnsi="Times New Roman" w:cs="Times New Roman"/>
          <w:i/>
          <w:noProof/>
          <w:color w:val="003399"/>
          <w:sz w:val="18"/>
          <w:szCs w:val="18"/>
          <w:lang w:bidi="ps-AF"/>
        </w:rPr>
        <w:t xml:space="preserve">Journal of Economics Finance and Accounting, </w:t>
      </w:r>
      <w:r w:rsidRPr="00776F87">
        <w:rPr>
          <w:rFonts w:ascii="Times New Roman" w:hAnsi="Times New Roman" w:cs="Times New Roman"/>
          <w:noProof/>
          <w:color w:val="003399"/>
          <w:sz w:val="18"/>
          <w:szCs w:val="18"/>
          <w:lang w:bidi="ps-AF"/>
        </w:rPr>
        <w:t>vol. 5, pp. 204-213, 2018.Available at: https://doi.org/10.17261/pressacademia.2018.825.</w:t>
      </w:r>
      <w:bookmarkEnd w:id="28"/>
    </w:p>
    <w:p w14:paraId="19A81046"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29" w:name="_ENREF_13"/>
      <w:r w:rsidRPr="00776F87">
        <w:rPr>
          <w:rFonts w:ascii="Times New Roman" w:hAnsi="Times New Roman" w:cs="Times New Roman"/>
          <w:noProof/>
          <w:color w:val="003399"/>
          <w:sz w:val="18"/>
          <w:szCs w:val="18"/>
          <w:lang w:bidi="ps-AF"/>
        </w:rPr>
        <w:t>[13]</w:t>
      </w:r>
      <w:r w:rsidRPr="00776F87">
        <w:rPr>
          <w:rFonts w:ascii="Times New Roman" w:hAnsi="Times New Roman" w:cs="Times New Roman"/>
          <w:noProof/>
          <w:color w:val="003399"/>
          <w:sz w:val="18"/>
          <w:szCs w:val="18"/>
          <w:lang w:bidi="ps-AF"/>
        </w:rPr>
        <w:tab/>
        <w:t xml:space="preserve">G. A. Woldie and K. Siddig, "Macroeconomic and distributional impacts of exchange rate devaluation in Ethiopia: A computable general equilibrium approach," </w:t>
      </w:r>
      <w:r w:rsidRPr="00776F87">
        <w:rPr>
          <w:rFonts w:ascii="Times New Roman" w:hAnsi="Times New Roman" w:cs="Times New Roman"/>
          <w:i/>
          <w:noProof/>
          <w:color w:val="003399"/>
          <w:sz w:val="18"/>
          <w:szCs w:val="18"/>
          <w:lang w:bidi="ps-AF"/>
        </w:rPr>
        <w:t xml:space="preserve">Heliyon, </w:t>
      </w:r>
      <w:r w:rsidRPr="00776F87">
        <w:rPr>
          <w:rFonts w:ascii="Times New Roman" w:hAnsi="Times New Roman" w:cs="Times New Roman"/>
          <w:noProof/>
          <w:color w:val="003399"/>
          <w:sz w:val="18"/>
          <w:szCs w:val="18"/>
          <w:lang w:bidi="ps-AF"/>
        </w:rPr>
        <w:t>vol. 5, p. e02984, 2019.Available at: https://doi.org/10.1016/j.heliyon.2019.e02984.</w:t>
      </w:r>
      <w:bookmarkEnd w:id="29"/>
    </w:p>
    <w:p w14:paraId="0F3B2D88"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30" w:name="_ENREF_14"/>
      <w:r w:rsidRPr="00776F87">
        <w:rPr>
          <w:rFonts w:ascii="Times New Roman" w:hAnsi="Times New Roman" w:cs="Times New Roman"/>
          <w:noProof/>
          <w:color w:val="003399"/>
          <w:sz w:val="18"/>
          <w:szCs w:val="18"/>
          <w:lang w:bidi="ps-AF"/>
        </w:rPr>
        <w:t>[14]</w:t>
      </w:r>
      <w:r w:rsidRPr="00776F87">
        <w:rPr>
          <w:rFonts w:ascii="Times New Roman" w:hAnsi="Times New Roman" w:cs="Times New Roman"/>
          <w:noProof/>
          <w:color w:val="003399"/>
          <w:sz w:val="18"/>
          <w:szCs w:val="18"/>
          <w:lang w:bidi="ps-AF"/>
        </w:rPr>
        <w:tab/>
        <w:t xml:space="preserve">M. Helísek, "Exchange rate mechanism II and the risk of currency crisis–empiricism and theory," </w:t>
      </w:r>
      <w:r w:rsidRPr="00776F87">
        <w:rPr>
          <w:rFonts w:ascii="Times New Roman" w:hAnsi="Times New Roman" w:cs="Times New Roman"/>
          <w:i/>
          <w:noProof/>
          <w:color w:val="003399"/>
          <w:sz w:val="18"/>
          <w:szCs w:val="18"/>
          <w:lang w:bidi="ps-AF"/>
        </w:rPr>
        <w:t xml:space="preserve">Journal of International Studies, </w:t>
      </w:r>
      <w:r w:rsidRPr="00776F87">
        <w:rPr>
          <w:rFonts w:ascii="Times New Roman" w:hAnsi="Times New Roman" w:cs="Times New Roman"/>
          <w:noProof/>
          <w:color w:val="003399"/>
          <w:sz w:val="18"/>
          <w:szCs w:val="18"/>
          <w:lang w:bidi="ps-AF"/>
        </w:rPr>
        <w:t>vol. 12, pp. 297-312, 2019.Available at: https://doi.org/10.14254/2071-8330.2019/12-1/20.</w:t>
      </w:r>
      <w:bookmarkEnd w:id="30"/>
    </w:p>
    <w:p w14:paraId="2F780105"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31" w:name="_ENREF_15"/>
      <w:r w:rsidRPr="00776F87">
        <w:rPr>
          <w:rFonts w:ascii="Times New Roman" w:hAnsi="Times New Roman" w:cs="Times New Roman"/>
          <w:noProof/>
          <w:color w:val="003399"/>
          <w:sz w:val="18"/>
          <w:szCs w:val="18"/>
          <w:lang w:bidi="ps-AF"/>
        </w:rPr>
        <w:t>[15]</w:t>
      </w:r>
      <w:r w:rsidRPr="00776F87">
        <w:rPr>
          <w:rFonts w:ascii="Times New Roman" w:hAnsi="Times New Roman" w:cs="Times New Roman"/>
          <w:noProof/>
          <w:color w:val="003399"/>
          <w:sz w:val="18"/>
          <w:szCs w:val="18"/>
          <w:lang w:bidi="ps-AF"/>
        </w:rPr>
        <w:tab/>
        <w:t xml:space="preserve">M. Guzman, J. A. Ocampo, and J. E. Stiglitz, "Real exchange rate policies for economic development," </w:t>
      </w:r>
      <w:r w:rsidRPr="00776F87">
        <w:rPr>
          <w:rFonts w:ascii="Times New Roman" w:hAnsi="Times New Roman" w:cs="Times New Roman"/>
          <w:i/>
          <w:noProof/>
          <w:color w:val="003399"/>
          <w:sz w:val="18"/>
          <w:szCs w:val="18"/>
          <w:lang w:bidi="ps-AF"/>
        </w:rPr>
        <w:t xml:space="preserve">World Development, </w:t>
      </w:r>
      <w:r w:rsidRPr="00776F87">
        <w:rPr>
          <w:rFonts w:ascii="Times New Roman" w:hAnsi="Times New Roman" w:cs="Times New Roman"/>
          <w:noProof/>
          <w:color w:val="003399"/>
          <w:sz w:val="18"/>
          <w:szCs w:val="18"/>
          <w:lang w:bidi="ps-AF"/>
        </w:rPr>
        <w:t>vol. 110, pp. 51-62, 2018.Available at: https://doi.org/10.1016/j.worlddev.2018.05.017.</w:t>
      </w:r>
      <w:bookmarkEnd w:id="31"/>
    </w:p>
    <w:p w14:paraId="30E46C2C"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32" w:name="_ENREF_16"/>
      <w:r w:rsidRPr="00776F87">
        <w:rPr>
          <w:rFonts w:ascii="Times New Roman" w:hAnsi="Times New Roman" w:cs="Times New Roman"/>
          <w:noProof/>
          <w:color w:val="003399"/>
          <w:sz w:val="18"/>
          <w:szCs w:val="18"/>
          <w:lang w:bidi="ps-AF"/>
        </w:rPr>
        <w:t>[16]</w:t>
      </w:r>
      <w:r w:rsidRPr="00776F87">
        <w:rPr>
          <w:rFonts w:ascii="Times New Roman" w:hAnsi="Times New Roman" w:cs="Times New Roman"/>
          <w:noProof/>
          <w:color w:val="003399"/>
          <w:sz w:val="18"/>
          <w:szCs w:val="18"/>
          <w:lang w:bidi="ps-AF"/>
        </w:rPr>
        <w:tab/>
        <w:t xml:space="preserve">H. Demeke and D. Tenaw, "Sources of recent inflationary pressures and interlinkages between food and non-food prices in Ethiopia," </w:t>
      </w:r>
      <w:r w:rsidRPr="00776F87">
        <w:rPr>
          <w:rFonts w:ascii="Times New Roman" w:hAnsi="Times New Roman" w:cs="Times New Roman"/>
          <w:i/>
          <w:noProof/>
          <w:color w:val="003399"/>
          <w:sz w:val="18"/>
          <w:szCs w:val="18"/>
          <w:lang w:bidi="ps-AF"/>
        </w:rPr>
        <w:t xml:space="preserve">Heliyon, </w:t>
      </w:r>
      <w:r w:rsidRPr="00776F87">
        <w:rPr>
          <w:rFonts w:ascii="Times New Roman" w:hAnsi="Times New Roman" w:cs="Times New Roman"/>
          <w:noProof/>
          <w:color w:val="003399"/>
          <w:sz w:val="18"/>
          <w:szCs w:val="18"/>
          <w:lang w:bidi="ps-AF"/>
        </w:rPr>
        <w:t>vol. 7, p. e08375, 2021.Available at: https://doi.org/10.1016/j.heliyon.2021.e08375.</w:t>
      </w:r>
      <w:bookmarkEnd w:id="32"/>
    </w:p>
    <w:p w14:paraId="6220946F"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33" w:name="_ENREF_17"/>
      <w:r w:rsidRPr="00776F87">
        <w:rPr>
          <w:rFonts w:ascii="Times New Roman" w:hAnsi="Times New Roman" w:cs="Times New Roman"/>
          <w:noProof/>
          <w:color w:val="003399"/>
          <w:sz w:val="18"/>
          <w:szCs w:val="18"/>
          <w:lang w:bidi="ps-AF"/>
        </w:rPr>
        <w:t>[17]</w:t>
      </w:r>
      <w:r w:rsidRPr="00776F87">
        <w:rPr>
          <w:rFonts w:ascii="Times New Roman" w:hAnsi="Times New Roman" w:cs="Times New Roman"/>
          <w:noProof/>
          <w:color w:val="003399"/>
          <w:sz w:val="18"/>
          <w:szCs w:val="18"/>
          <w:lang w:bidi="ps-AF"/>
        </w:rPr>
        <w:tab/>
        <w:t xml:space="preserve">R. S. Rajan, "Management of exchange rate regimes in emerging Asia," </w:t>
      </w:r>
      <w:r w:rsidRPr="00776F87">
        <w:rPr>
          <w:rFonts w:ascii="Times New Roman" w:hAnsi="Times New Roman" w:cs="Times New Roman"/>
          <w:i/>
          <w:noProof/>
          <w:color w:val="003399"/>
          <w:sz w:val="18"/>
          <w:szCs w:val="18"/>
          <w:lang w:bidi="ps-AF"/>
        </w:rPr>
        <w:t xml:space="preserve">Review of Development Finance, </w:t>
      </w:r>
      <w:r w:rsidRPr="00776F87">
        <w:rPr>
          <w:rFonts w:ascii="Times New Roman" w:hAnsi="Times New Roman" w:cs="Times New Roman"/>
          <w:noProof/>
          <w:color w:val="003399"/>
          <w:sz w:val="18"/>
          <w:szCs w:val="18"/>
          <w:lang w:bidi="ps-AF"/>
        </w:rPr>
        <w:t>vol. 2, pp. 53-68, 2012.Available at: https://doi.org/10.2139/ssrn.1961495.</w:t>
      </w:r>
      <w:bookmarkEnd w:id="33"/>
    </w:p>
    <w:p w14:paraId="62DD3A3D" w14:textId="250559A1"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34" w:name="_ENREF_18"/>
      <w:r w:rsidRPr="00776F87">
        <w:rPr>
          <w:rFonts w:ascii="Times New Roman" w:hAnsi="Times New Roman" w:cs="Times New Roman"/>
          <w:noProof/>
          <w:color w:val="003399"/>
          <w:sz w:val="18"/>
          <w:szCs w:val="18"/>
          <w:lang w:bidi="ps-AF"/>
        </w:rPr>
        <w:t>[18]</w:t>
      </w:r>
      <w:r w:rsidRPr="00776F87">
        <w:rPr>
          <w:rFonts w:ascii="Times New Roman" w:hAnsi="Times New Roman" w:cs="Times New Roman"/>
          <w:noProof/>
          <w:color w:val="003399"/>
          <w:sz w:val="18"/>
          <w:szCs w:val="18"/>
          <w:lang w:bidi="ps-AF"/>
        </w:rPr>
        <w:tab/>
        <w:t xml:space="preserve">P. Warjiyo, "Changing perspectives on exchange rates: Theory and policy implications," </w:t>
      </w:r>
      <w:r w:rsidRPr="00776F87">
        <w:rPr>
          <w:rFonts w:ascii="Times New Roman" w:hAnsi="Times New Roman" w:cs="Times New Roman"/>
          <w:i/>
          <w:noProof/>
          <w:color w:val="003399"/>
          <w:sz w:val="18"/>
          <w:szCs w:val="18"/>
          <w:lang w:bidi="ps-AF"/>
        </w:rPr>
        <w:t xml:space="preserve">Bulletin of Monetary Economics and Banking, </w:t>
      </w:r>
      <w:r w:rsidRPr="00776F87">
        <w:rPr>
          <w:rFonts w:ascii="Times New Roman" w:hAnsi="Times New Roman" w:cs="Times New Roman"/>
          <w:noProof/>
          <w:color w:val="003399"/>
          <w:sz w:val="18"/>
          <w:szCs w:val="18"/>
          <w:lang w:bidi="ps-AF"/>
        </w:rPr>
        <w:t>vol. 8, pp. 1-17, 2005.</w:t>
      </w:r>
      <w:r w:rsidR="00634D93" w:rsidRPr="00776F87">
        <w:rPr>
          <w:rFonts w:ascii="Times New Roman" w:hAnsi="Times New Roman" w:cs="Times New Roman"/>
          <w:noProof/>
          <w:color w:val="003399"/>
          <w:sz w:val="18"/>
          <w:szCs w:val="18"/>
          <w:lang w:bidi="ps-AF"/>
        </w:rPr>
        <w:t xml:space="preserve"> </w:t>
      </w:r>
      <w:r w:rsidRPr="00776F87">
        <w:rPr>
          <w:rFonts w:ascii="Times New Roman" w:hAnsi="Times New Roman" w:cs="Times New Roman"/>
          <w:noProof/>
          <w:color w:val="003399"/>
          <w:sz w:val="18"/>
          <w:szCs w:val="18"/>
          <w:lang w:bidi="ps-AF"/>
        </w:rPr>
        <w:t>Available at: https://doi.org/10.21098/bemp.v8i3.138.</w:t>
      </w:r>
      <w:bookmarkEnd w:id="34"/>
    </w:p>
    <w:p w14:paraId="683B1BB3"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35" w:name="_ENREF_19"/>
      <w:r w:rsidRPr="00776F87">
        <w:rPr>
          <w:rFonts w:ascii="Times New Roman" w:hAnsi="Times New Roman" w:cs="Times New Roman"/>
          <w:noProof/>
          <w:color w:val="003399"/>
          <w:sz w:val="18"/>
          <w:szCs w:val="18"/>
          <w:lang w:bidi="ps-AF"/>
        </w:rPr>
        <w:t>[19]</w:t>
      </w:r>
      <w:r w:rsidRPr="00776F87">
        <w:rPr>
          <w:rFonts w:ascii="Times New Roman" w:hAnsi="Times New Roman" w:cs="Times New Roman"/>
          <w:noProof/>
          <w:color w:val="003399"/>
          <w:sz w:val="18"/>
          <w:szCs w:val="18"/>
          <w:lang w:bidi="ps-AF"/>
        </w:rPr>
        <w:tab/>
        <w:t xml:space="preserve">R. D. Handoyo, A. Erlando, and N. T. Astutik, "Analysis of twin deficits hypothesis in Indonesia and its impact on financial crisis," </w:t>
      </w:r>
      <w:r w:rsidRPr="00776F87">
        <w:rPr>
          <w:rFonts w:ascii="Times New Roman" w:hAnsi="Times New Roman" w:cs="Times New Roman"/>
          <w:i/>
          <w:noProof/>
          <w:color w:val="003399"/>
          <w:sz w:val="18"/>
          <w:szCs w:val="18"/>
          <w:lang w:bidi="ps-AF"/>
        </w:rPr>
        <w:t xml:space="preserve">Heliyon, </w:t>
      </w:r>
      <w:r w:rsidRPr="00776F87">
        <w:rPr>
          <w:rFonts w:ascii="Times New Roman" w:hAnsi="Times New Roman" w:cs="Times New Roman"/>
          <w:noProof/>
          <w:color w:val="003399"/>
          <w:sz w:val="18"/>
          <w:szCs w:val="18"/>
          <w:lang w:bidi="ps-AF"/>
        </w:rPr>
        <w:t>vol. 6, p. e03248, 2020.Available at: https://doi.org/10.1016/j.heliyon.2020.e03248.</w:t>
      </w:r>
      <w:bookmarkEnd w:id="35"/>
    </w:p>
    <w:p w14:paraId="7790594A"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36" w:name="_ENREF_20"/>
      <w:r w:rsidRPr="00776F87">
        <w:rPr>
          <w:rFonts w:ascii="Times New Roman" w:hAnsi="Times New Roman" w:cs="Times New Roman"/>
          <w:noProof/>
          <w:color w:val="003399"/>
          <w:sz w:val="18"/>
          <w:szCs w:val="18"/>
          <w:lang w:bidi="ps-AF"/>
        </w:rPr>
        <w:t>[20]</w:t>
      </w:r>
      <w:r w:rsidRPr="00776F87">
        <w:rPr>
          <w:rFonts w:ascii="Times New Roman" w:hAnsi="Times New Roman" w:cs="Times New Roman"/>
          <w:noProof/>
          <w:color w:val="003399"/>
          <w:sz w:val="18"/>
          <w:szCs w:val="18"/>
          <w:lang w:bidi="ps-AF"/>
        </w:rPr>
        <w:tab/>
        <w:t xml:space="preserve">S. Ding and D. Puzzello, "Legal restrictions and international currencies: An experimental approach," </w:t>
      </w:r>
      <w:r w:rsidRPr="00776F87">
        <w:rPr>
          <w:rFonts w:ascii="Times New Roman" w:hAnsi="Times New Roman" w:cs="Times New Roman"/>
          <w:i/>
          <w:noProof/>
          <w:color w:val="003399"/>
          <w:sz w:val="18"/>
          <w:szCs w:val="18"/>
          <w:lang w:bidi="ps-AF"/>
        </w:rPr>
        <w:t xml:space="preserve">Journal of International Economics, </w:t>
      </w:r>
      <w:r w:rsidRPr="00776F87">
        <w:rPr>
          <w:rFonts w:ascii="Times New Roman" w:hAnsi="Times New Roman" w:cs="Times New Roman"/>
          <w:noProof/>
          <w:color w:val="003399"/>
          <w:sz w:val="18"/>
          <w:szCs w:val="18"/>
          <w:lang w:bidi="ps-AF"/>
        </w:rPr>
        <w:t>vol. 126, p. 103342, 2020.Available at: https://doi.org/10.1016/j.jinteco.2020.103342.</w:t>
      </w:r>
      <w:bookmarkEnd w:id="36"/>
    </w:p>
    <w:p w14:paraId="5CF821D0"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37" w:name="_ENREF_21"/>
      <w:r w:rsidRPr="00776F87">
        <w:rPr>
          <w:rFonts w:ascii="Times New Roman" w:hAnsi="Times New Roman" w:cs="Times New Roman"/>
          <w:noProof/>
          <w:color w:val="003399"/>
          <w:sz w:val="18"/>
          <w:szCs w:val="18"/>
          <w:lang w:bidi="ps-AF"/>
        </w:rPr>
        <w:t>[21]</w:t>
      </w:r>
      <w:r w:rsidRPr="00776F87">
        <w:rPr>
          <w:rFonts w:ascii="Times New Roman" w:hAnsi="Times New Roman" w:cs="Times New Roman"/>
          <w:noProof/>
          <w:color w:val="003399"/>
          <w:sz w:val="18"/>
          <w:szCs w:val="18"/>
          <w:lang w:bidi="ps-AF"/>
        </w:rPr>
        <w:tab/>
        <w:t xml:space="preserve">A. K. Rohit and P. Dash, "Dynamics of monetary policy spillover: The role of exchange rate regimes," </w:t>
      </w:r>
      <w:r w:rsidRPr="00776F87">
        <w:rPr>
          <w:rFonts w:ascii="Times New Roman" w:hAnsi="Times New Roman" w:cs="Times New Roman"/>
          <w:i/>
          <w:noProof/>
          <w:color w:val="003399"/>
          <w:sz w:val="18"/>
          <w:szCs w:val="18"/>
          <w:lang w:bidi="ps-AF"/>
        </w:rPr>
        <w:t xml:space="preserve">Economic Modelling, </w:t>
      </w:r>
      <w:r w:rsidRPr="00776F87">
        <w:rPr>
          <w:rFonts w:ascii="Times New Roman" w:hAnsi="Times New Roman" w:cs="Times New Roman"/>
          <w:noProof/>
          <w:color w:val="003399"/>
          <w:sz w:val="18"/>
          <w:szCs w:val="18"/>
          <w:lang w:bidi="ps-AF"/>
        </w:rPr>
        <w:t>vol. 77, pp. 276-288, 2019.Available at: https://doi.org/10.1016/j.econmod.2018.09.007.</w:t>
      </w:r>
      <w:bookmarkEnd w:id="37"/>
    </w:p>
    <w:p w14:paraId="15C25ED0"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38" w:name="_ENREF_22"/>
      <w:r w:rsidRPr="00776F87">
        <w:rPr>
          <w:rFonts w:ascii="Times New Roman" w:hAnsi="Times New Roman" w:cs="Times New Roman"/>
          <w:noProof/>
          <w:color w:val="003399"/>
          <w:sz w:val="18"/>
          <w:szCs w:val="18"/>
          <w:lang w:bidi="ps-AF"/>
        </w:rPr>
        <w:lastRenderedPageBreak/>
        <w:t>[22]</w:t>
      </w:r>
      <w:r w:rsidRPr="00776F87">
        <w:rPr>
          <w:rFonts w:ascii="Times New Roman" w:hAnsi="Times New Roman" w:cs="Times New Roman"/>
          <w:noProof/>
          <w:color w:val="003399"/>
          <w:sz w:val="18"/>
          <w:szCs w:val="18"/>
          <w:lang w:bidi="ps-AF"/>
        </w:rPr>
        <w:tab/>
        <w:t xml:space="preserve">M. B. Devereux, W. Dong, and B. Tomlin, "Importers and exporters in exchange rate pass-through and currency invoicing," </w:t>
      </w:r>
      <w:r w:rsidRPr="00776F87">
        <w:rPr>
          <w:rFonts w:ascii="Times New Roman" w:hAnsi="Times New Roman" w:cs="Times New Roman"/>
          <w:i/>
          <w:noProof/>
          <w:color w:val="003399"/>
          <w:sz w:val="18"/>
          <w:szCs w:val="18"/>
          <w:lang w:bidi="ps-AF"/>
        </w:rPr>
        <w:t xml:space="preserve">Journal of International Economics, </w:t>
      </w:r>
      <w:r w:rsidRPr="00776F87">
        <w:rPr>
          <w:rFonts w:ascii="Times New Roman" w:hAnsi="Times New Roman" w:cs="Times New Roman"/>
          <w:noProof/>
          <w:color w:val="003399"/>
          <w:sz w:val="18"/>
          <w:szCs w:val="18"/>
          <w:lang w:bidi="ps-AF"/>
        </w:rPr>
        <w:t>vol. 105, pp. 187-204, 2017.Available at: https://doi.org/10.1016/j.jinteco.2016.12.011.</w:t>
      </w:r>
      <w:bookmarkEnd w:id="38"/>
    </w:p>
    <w:p w14:paraId="2E833AFE"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39" w:name="_ENREF_23"/>
      <w:r w:rsidRPr="00776F87">
        <w:rPr>
          <w:rFonts w:ascii="Times New Roman" w:hAnsi="Times New Roman" w:cs="Times New Roman"/>
          <w:noProof/>
          <w:color w:val="003399"/>
          <w:sz w:val="18"/>
          <w:szCs w:val="18"/>
          <w:lang w:bidi="ps-AF"/>
        </w:rPr>
        <w:t>[23]</w:t>
      </w:r>
      <w:r w:rsidRPr="00776F87">
        <w:rPr>
          <w:rFonts w:ascii="Times New Roman" w:hAnsi="Times New Roman" w:cs="Times New Roman"/>
          <w:noProof/>
          <w:color w:val="003399"/>
          <w:sz w:val="18"/>
          <w:szCs w:val="18"/>
          <w:lang w:bidi="ps-AF"/>
        </w:rPr>
        <w:tab/>
        <w:t xml:space="preserve">L. Sugiharti, M. A. Esquivias, and B. Setyorani, "The impact of exchange rate volatility on Indonesia's top exports to the five main export markets," </w:t>
      </w:r>
      <w:r w:rsidRPr="00776F87">
        <w:rPr>
          <w:rFonts w:ascii="Times New Roman" w:hAnsi="Times New Roman" w:cs="Times New Roman"/>
          <w:i/>
          <w:noProof/>
          <w:color w:val="003399"/>
          <w:sz w:val="18"/>
          <w:szCs w:val="18"/>
          <w:lang w:bidi="ps-AF"/>
        </w:rPr>
        <w:t xml:space="preserve">Heliyon, </w:t>
      </w:r>
      <w:r w:rsidRPr="00776F87">
        <w:rPr>
          <w:rFonts w:ascii="Times New Roman" w:hAnsi="Times New Roman" w:cs="Times New Roman"/>
          <w:noProof/>
          <w:color w:val="003399"/>
          <w:sz w:val="18"/>
          <w:szCs w:val="18"/>
          <w:lang w:bidi="ps-AF"/>
        </w:rPr>
        <w:t>vol. 6, p. e03141, 2020.Available at: https://doi.org/10.1016/j.heliyon.2019.e03141.</w:t>
      </w:r>
      <w:bookmarkEnd w:id="39"/>
    </w:p>
    <w:p w14:paraId="53E87FEC"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40" w:name="_ENREF_24"/>
      <w:r w:rsidRPr="00776F87">
        <w:rPr>
          <w:rFonts w:ascii="Times New Roman" w:hAnsi="Times New Roman" w:cs="Times New Roman"/>
          <w:noProof/>
          <w:color w:val="003399"/>
          <w:sz w:val="18"/>
          <w:szCs w:val="18"/>
          <w:lang w:bidi="ps-AF"/>
        </w:rPr>
        <w:t>[24]</w:t>
      </w:r>
      <w:r w:rsidRPr="00776F87">
        <w:rPr>
          <w:rFonts w:ascii="Times New Roman" w:hAnsi="Times New Roman" w:cs="Times New Roman"/>
          <w:noProof/>
          <w:color w:val="003399"/>
          <w:sz w:val="18"/>
          <w:szCs w:val="18"/>
          <w:lang w:bidi="ps-AF"/>
        </w:rPr>
        <w:tab/>
        <w:t xml:space="preserve">D. Wulandari, S. H. Utomo, and B. S. Narmaditya, "The relationship between economic growth and macroeconomic indicators in Indonesia," </w:t>
      </w:r>
      <w:r w:rsidRPr="00776F87">
        <w:rPr>
          <w:rFonts w:ascii="Times New Roman" w:hAnsi="Times New Roman" w:cs="Times New Roman"/>
          <w:i/>
          <w:noProof/>
          <w:color w:val="003399"/>
          <w:sz w:val="18"/>
          <w:szCs w:val="18"/>
          <w:lang w:bidi="ps-AF"/>
        </w:rPr>
        <w:t xml:space="preserve">Journal of International Studies, </w:t>
      </w:r>
      <w:r w:rsidRPr="00776F87">
        <w:rPr>
          <w:rFonts w:ascii="Times New Roman" w:hAnsi="Times New Roman" w:cs="Times New Roman"/>
          <w:noProof/>
          <w:color w:val="003399"/>
          <w:sz w:val="18"/>
          <w:szCs w:val="18"/>
          <w:lang w:bidi="ps-AF"/>
        </w:rPr>
        <w:t>vol. 13, pp. 139-148, 2020.Available at: https://doi.org/10.14254/2071-8330.2020/13-2/10.</w:t>
      </w:r>
      <w:bookmarkEnd w:id="40"/>
    </w:p>
    <w:p w14:paraId="3C16D0A9"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41" w:name="_ENREF_25"/>
      <w:r w:rsidRPr="00776F87">
        <w:rPr>
          <w:rFonts w:ascii="Times New Roman" w:hAnsi="Times New Roman" w:cs="Times New Roman"/>
          <w:noProof/>
          <w:color w:val="003399"/>
          <w:sz w:val="18"/>
          <w:szCs w:val="18"/>
          <w:lang w:bidi="ps-AF"/>
        </w:rPr>
        <w:t>[25]</w:t>
      </w:r>
      <w:r w:rsidRPr="00776F87">
        <w:rPr>
          <w:rFonts w:ascii="Times New Roman" w:hAnsi="Times New Roman" w:cs="Times New Roman"/>
          <w:noProof/>
          <w:color w:val="003399"/>
          <w:sz w:val="18"/>
          <w:szCs w:val="18"/>
          <w:lang w:bidi="ps-AF"/>
        </w:rPr>
        <w:tab/>
        <w:t xml:space="preserve">H. Kuncoro, "Interest rate policy and exchange rates volatility lessons from Indonesia," </w:t>
      </w:r>
      <w:r w:rsidRPr="00776F87">
        <w:rPr>
          <w:rFonts w:ascii="Times New Roman" w:hAnsi="Times New Roman" w:cs="Times New Roman"/>
          <w:i/>
          <w:noProof/>
          <w:color w:val="003399"/>
          <w:sz w:val="18"/>
          <w:szCs w:val="18"/>
          <w:lang w:bidi="ps-AF"/>
        </w:rPr>
        <w:t xml:space="preserve">Journal of Central Banking Theory and Practice, </w:t>
      </w:r>
      <w:r w:rsidRPr="00776F87">
        <w:rPr>
          <w:rFonts w:ascii="Times New Roman" w:hAnsi="Times New Roman" w:cs="Times New Roman"/>
          <w:noProof/>
          <w:color w:val="003399"/>
          <w:sz w:val="18"/>
          <w:szCs w:val="18"/>
          <w:lang w:bidi="ps-AF"/>
        </w:rPr>
        <w:t>vol. 9, pp. 19-42, 2020.Available at: https://doi.org/10.2478/jcbtp-2020-0012.</w:t>
      </w:r>
      <w:bookmarkEnd w:id="41"/>
    </w:p>
    <w:p w14:paraId="294DDCBB"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42" w:name="_ENREF_26"/>
      <w:r w:rsidRPr="00776F87">
        <w:rPr>
          <w:rFonts w:ascii="Times New Roman" w:hAnsi="Times New Roman" w:cs="Times New Roman"/>
          <w:noProof/>
          <w:color w:val="003399"/>
          <w:sz w:val="18"/>
          <w:szCs w:val="18"/>
          <w:lang w:bidi="ps-AF"/>
        </w:rPr>
        <w:t>[26]</w:t>
      </w:r>
      <w:r w:rsidRPr="00776F87">
        <w:rPr>
          <w:rFonts w:ascii="Times New Roman" w:hAnsi="Times New Roman" w:cs="Times New Roman"/>
          <w:noProof/>
          <w:color w:val="003399"/>
          <w:sz w:val="18"/>
          <w:szCs w:val="18"/>
          <w:lang w:bidi="ps-AF"/>
        </w:rPr>
        <w:tab/>
        <w:t xml:space="preserve">A. A. Khin, C. Y. Yee, L. S. Seng, C. M. Wan, and G. Q. Xian, "Exchange rate volatility on macroeconomıc determinants in Malaysia: Vector error correction method (VECM) model," </w:t>
      </w:r>
      <w:r w:rsidRPr="00776F87">
        <w:rPr>
          <w:rFonts w:ascii="Times New Roman" w:hAnsi="Times New Roman" w:cs="Times New Roman"/>
          <w:i/>
          <w:noProof/>
          <w:color w:val="003399"/>
          <w:sz w:val="18"/>
          <w:szCs w:val="18"/>
          <w:lang w:bidi="ps-AF"/>
        </w:rPr>
        <w:t xml:space="preserve">Journal of Global Business and Social Entrepreneurship, </w:t>
      </w:r>
      <w:r w:rsidRPr="00776F87">
        <w:rPr>
          <w:rFonts w:ascii="Times New Roman" w:hAnsi="Times New Roman" w:cs="Times New Roman"/>
          <w:noProof/>
          <w:color w:val="003399"/>
          <w:sz w:val="18"/>
          <w:szCs w:val="18"/>
          <w:lang w:bidi="ps-AF"/>
        </w:rPr>
        <w:t>vol. 3, pp. 36-45, 2017.</w:t>
      </w:r>
      <w:bookmarkEnd w:id="42"/>
    </w:p>
    <w:p w14:paraId="41689306"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43" w:name="_ENREF_27"/>
      <w:r w:rsidRPr="00776F87">
        <w:rPr>
          <w:rFonts w:ascii="Times New Roman" w:hAnsi="Times New Roman" w:cs="Times New Roman"/>
          <w:noProof/>
          <w:color w:val="003399"/>
          <w:sz w:val="18"/>
          <w:szCs w:val="18"/>
          <w:lang w:bidi="ps-AF"/>
        </w:rPr>
        <w:t>[27]</w:t>
      </w:r>
      <w:r w:rsidRPr="00776F87">
        <w:rPr>
          <w:rFonts w:ascii="Times New Roman" w:hAnsi="Times New Roman" w:cs="Times New Roman"/>
          <w:noProof/>
          <w:color w:val="003399"/>
          <w:sz w:val="18"/>
          <w:szCs w:val="18"/>
          <w:lang w:bidi="ps-AF"/>
        </w:rPr>
        <w:tab/>
        <w:t xml:space="preserve">T. M. Ali, M. T. Mahmood, and T. Bashir, "Impact of interest rate, inflation and money supply on exchange rate volatility in Pakistan," </w:t>
      </w:r>
      <w:r w:rsidRPr="00776F87">
        <w:rPr>
          <w:rFonts w:ascii="Times New Roman" w:hAnsi="Times New Roman" w:cs="Times New Roman"/>
          <w:i/>
          <w:noProof/>
          <w:color w:val="003399"/>
          <w:sz w:val="18"/>
          <w:szCs w:val="18"/>
          <w:lang w:bidi="ps-AF"/>
        </w:rPr>
        <w:t xml:space="preserve">World Applied Sciences Journal, </w:t>
      </w:r>
      <w:r w:rsidRPr="00776F87">
        <w:rPr>
          <w:rFonts w:ascii="Times New Roman" w:hAnsi="Times New Roman" w:cs="Times New Roman"/>
          <w:noProof/>
          <w:color w:val="003399"/>
          <w:sz w:val="18"/>
          <w:szCs w:val="18"/>
          <w:lang w:bidi="ps-AF"/>
        </w:rPr>
        <w:t>vol. 33, pp. 620-630, 2015.</w:t>
      </w:r>
      <w:bookmarkEnd w:id="43"/>
    </w:p>
    <w:p w14:paraId="53762445"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44" w:name="_ENREF_28"/>
      <w:r w:rsidRPr="00776F87">
        <w:rPr>
          <w:rFonts w:ascii="Times New Roman" w:hAnsi="Times New Roman" w:cs="Times New Roman"/>
          <w:noProof/>
          <w:color w:val="003399"/>
          <w:sz w:val="18"/>
          <w:szCs w:val="18"/>
          <w:lang w:bidi="ps-AF"/>
        </w:rPr>
        <w:t>[28]</w:t>
      </w:r>
      <w:r w:rsidRPr="00776F87">
        <w:rPr>
          <w:rFonts w:ascii="Times New Roman" w:hAnsi="Times New Roman" w:cs="Times New Roman"/>
          <w:noProof/>
          <w:color w:val="003399"/>
          <w:sz w:val="18"/>
          <w:szCs w:val="18"/>
          <w:lang w:bidi="ps-AF"/>
        </w:rPr>
        <w:tab/>
        <w:t xml:space="preserve">A. K. Saha and S. Biswas, "Macroeconomic fundamentals and exchange rate volatility during the floating exchange rate regime in India," </w:t>
      </w:r>
      <w:r w:rsidRPr="00776F87">
        <w:rPr>
          <w:rFonts w:ascii="Times New Roman" w:hAnsi="Times New Roman" w:cs="Times New Roman"/>
          <w:i/>
          <w:noProof/>
          <w:color w:val="003399"/>
          <w:sz w:val="18"/>
          <w:szCs w:val="18"/>
          <w:lang w:bidi="ps-AF"/>
        </w:rPr>
        <w:t xml:space="preserve">International Journal of Economics &amp; Management, </w:t>
      </w:r>
      <w:r w:rsidRPr="00776F87">
        <w:rPr>
          <w:rFonts w:ascii="Times New Roman" w:hAnsi="Times New Roman" w:cs="Times New Roman"/>
          <w:noProof/>
          <w:color w:val="003399"/>
          <w:sz w:val="18"/>
          <w:szCs w:val="18"/>
          <w:lang w:bidi="ps-AF"/>
        </w:rPr>
        <w:t>vol. 8, pp. 10-39, 2014.</w:t>
      </w:r>
      <w:bookmarkEnd w:id="44"/>
    </w:p>
    <w:p w14:paraId="134F236A"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45" w:name="_ENREF_29"/>
      <w:r w:rsidRPr="00776F87">
        <w:rPr>
          <w:rFonts w:ascii="Times New Roman" w:hAnsi="Times New Roman" w:cs="Times New Roman"/>
          <w:noProof/>
          <w:color w:val="003399"/>
          <w:sz w:val="18"/>
          <w:szCs w:val="18"/>
          <w:lang w:bidi="ps-AF"/>
        </w:rPr>
        <w:t>[29]</w:t>
      </w:r>
      <w:r w:rsidRPr="00776F87">
        <w:rPr>
          <w:rFonts w:ascii="Times New Roman" w:hAnsi="Times New Roman" w:cs="Times New Roman"/>
          <w:noProof/>
          <w:color w:val="003399"/>
          <w:sz w:val="18"/>
          <w:szCs w:val="18"/>
          <w:lang w:bidi="ps-AF"/>
        </w:rPr>
        <w:tab/>
        <w:t xml:space="preserve">A. Mirchandani, "Analysis of macroeconomic determinants of exchange rate volatility in India," </w:t>
      </w:r>
      <w:r w:rsidRPr="00776F87">
        <w:rPr>
          <w:rFonts w:ascii="Times New Roman" w:hAnsi="Times New Roman" w:cs="Times New Roman"/>
          <w:i/>
          <w:noProof/>
          <w:color w:val="003399"/>
          <w:sz w:val="18"/>
          <w:szCs w:val="18"/>
          <w:lang w:bidi="ps-AF"/>
        </w:rPr>
        <w:t xml:space="preserve">International Journal of Economics and Financial Issues, </w:t>
      </w:r>
      <w:r w:rsidRPr="00776F87">
        <w:rPr>
          <w:rFonts w:ascii="Times New Roman" w:hAnsi="Times New Roman" w:cs="Times New Roman"/>
          <w:noProof/>
          <w:color w:val="003399"/>
          <w:sz w:val="18"/>
          <w:szCs w:val="18"/>
          <w:lang w:bidi="ps-AF"/>
        </w:rPr>
        <w:t>vol. 3, pp. 172-179, 2013.</w:t>
      </w:r>
      <w:bookmarkEnd w:id="45"/>
    </w:p>
    <w:p w14:paraId="73D6534C"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46" w:name="_ENREF_30"/>
      <w:r w:rsidRPr="00776F87">
        <w:rPr>
          <w:rFonts w:ascii="Times New Roman" w:hAnsi="Times New Roman" w:cs="Times New Roman"/>
          <w:noProof/>
          <w:color w:val="003399"/>
          <w:sz w:val="18"/>
          <w:szCs w:val="18"/>
          <w:lang w:bidi="ps-AF"/>
        </w:rPr>
        <w:t>[30]</w:t>
      </w:r>
      <w:r w:rsidRPr="00776F87">
        <w:rPr>
          <w:rFonts w:ascii="Times New Roman" w:hAnsi="Times New Roman" w:cs="Times New Roman"/>
          <w:noProof/>
          <w:color w:val="003399"/>
          <w:sz w:val="18"/>
          <w:szCs w:val="18"/>
          <w:lang w:bidi="ps-AF"/>
        </w:rPr>
        <w:tab/>
        <w:t xml:space="preserve">A. Hassan and Y. U. Dantama, "Determinants of exchange rate volatility: New estimates from Nigeria," </w:t>
      </w:r>
      <w:r w:rsidRPr="00776F87">
        <w:rPr>
          <w:rFonts w:ascii="Times New Roman" w:hAnsi="Times New Roman" w:cs="Times New Roman"/>
          <w:i/>
          <w:noProof/>
          <w:color w:val="003399"/>
          <w:sz w:val="18"/>
          <w:szCs w:val="18"/>
          <w:lang w:bidi="ps-AF"/>
        </w:rPr>
        <w:t xml:space="preserve">Eastern Journal of Economics and Finance, </w:t>
      </w:r>
      <w:r w:rsidRPr="00776F87">
        <w:rPr>
          <w:rFonts w:ascii="Times New Roman" w:hAnsi="Times New Roman" w:cs="Times New Roman"/>
          <w:noProof/>
          <w:color w:val="003399"/>
          <w:sz w:val="18"/>
          <w:szCs w:val="18"/>
          <w:lang w:bidi="ps-AF"/>
        </w:rPr>
        <w:t>vol. 3, pp. 1-12, 2017.Available at: https://doi.org/10.20448/809.3.1.1.12.</w:t>
      </w:r>
      <w:bookmarkEnd w:id="46"/>
    </w:p>
    <w:p w14:paraId="2AE99A86" w14:textId="594C473C"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47" w:name="_ENREF_31"/>
      <w:r w:rsidRPr="00776F87">
        <w:rPr>
          <w:rFonts w:ascii="Times New Roman" w:hAnsi="Times New Roman" w:cs="Times New Roman"/>
          <w:noProof/>
          <w:color w:val="003399"/>
          <w:sz w:val="18"/>
          <w:szCs w:val="18"/>
          <w:lang w:bidi="ps-AF"/>
        </w:rPr>
        <w:t>[31]</w:t>
      </w:r>
      <w:r w:rsidRPr="00776F87">
        <w:rPr>
          <w:rFonts w:ascii="Times New Roman" w:hAnsi="Times New Roman" w:cs="Times New Roman"/>
          <w:noProof/>
          <w:color w:val="003399"/>
          <w:sz w:val="18"/>
          <w:szCs w:val="18"/>
          <w:lang w:bidi="ps-AF"/>
        </w:rPr>
        <w:tab/>
        <w:t xml:space="preserve">M. Jabeen and S. A. Khan, "Modelling exchange rate volatility by macroeconomic fundamentals in Pakistan," </w:t>
      </w:r>
      <w:r w:rsidRPr="00776F87">
        <w:rPr>
          <w:rFonts w:ascii="Times New Roman" w:hAnsi="Times New Roman" w:cs="Times New Roman"/>
          <w:i/>
          <w:noProof/>
          <w:color w:val="003399"/>
          <w:sz w:val="18"/>
          <w:szCs w:val="18"/>
          <w:lang w:bidi="ps-AF"/>
        </w:rPr>
        <w:t xml:space="preserve">International Econometric Review, </w:t>
      </w:r>
      <w:r w:rsidRPr="00776F87">
        <w:rPr>
          <w:rFonts w:ascii="Times New Roman" w:hAnsi="Times New Roman" w:cs="Times New Roman"/>
          <w:noProof/>
          <w:color w:val="003399"/>
          <w:sz w:val="18"/>
          <w:szCs w:val="18"/>
          <w:lang w:bidi="ps-AF"/>
        </w:rPr>
        <w:t>vol. 6, pp. 58-76, 2014.</w:t>
      </w:r>
      <w:r w:rsidR="00634D93" w:rsidRPr="00776F87">
        <w:rPr>
          <w:rFonts w:ascii="Times New Roman" w:hAnsi="Times New Roman" w:cs="Times New Roman"/>
          <w:noProof/>
          <w:color w:val="003399"/>
          <w:sz w:val="18"/>
          <w:szCs w:val="18"/>
          <w:lang w:bidi="ps-AF"/>
        </w:rPr>
        <w:t xml:space="preserve"> </w:t>
      </w:r>
      <w:r w:rsidRPr="00776F87">
        <w:rPr>
          <w:rFonts w:ascii="Times New Roman" w:hAnsi="Times New Roman" w:cs="Times New Roman"/>
          <w:noProof/>
          <w:color w:val="003399"/>
          <w:sz w:val="18"/>
          <w:szCs w:val="18"/>
          <w:lang w:bidi="ps-AF"/>
        </w:rPr>
        <w:t>Available at: https://doi.org/10.33818/ier.278035.</w:t>
      </w:r>
      <w:bookmarkEnd w:id="47"/>
    </w:p>
    <w:p w14:paraId="095BB6D3"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48" w:name="_ENREF_32"/>
      <w:r w:rsidRPr="00776F87">
        <w:rPr>
          <w:rFonts w:ascii="Times New Roman" w:hAnsi="Times New Roman" w:cs="Times New Roman"/>
          <w:noProof/>
          <w:color w:val="003399"/>
          <w:sz w:val="18"/>
          <w:szCs w:val="18"/>
          <w:lang w:bidi="ps-AF"/>
        </w:rPr>
        <w:t>[32]</w:t>
      </w:r>
      <w:r w:rsidRPr="00776F87">
        <w:rPr>
          <w:rFonts w:ascii="Times New Roman" w:hAnsi="Times New Roman" w:cs="Times New Roman"/>
          <w:noProof/>
          <w:color w:val="003399"/>
          <w:sz w:val="18"/>
          <w:szCs w:val="18"/>
          <w:lang w:bidi="ps-AF"/>
        </w:rPr>
        <w:tab/>
        <w:t xml:space="preserve">A. Bertasiute, D. Massaro, and M. Weber, "The behavioral economics of currency unions: Economic integration and monetary policy," </w:t>
      </w:r>
      <w:r w:rsidRPr="00776F87">
        <w:rPr>
          <w:rFonts w:ascii="Times New Roman" w:hAnsi="Times New Roman" w:cs="Times New Roman"/>
          <w:i/>
          <w:noProof/>
          <w:color w:val="003399"/>
          <w:sz w:val="18"/>
          <w:szCs w:val="18"/>
          <w:lang w:bidi="ps-AF"/>
        </w:rPr>
        <w:t xml:space="preserve">Journal of Economic Dynamics and Control, </w:t>
      </w:r>
      <w:r w:rsidRPr="00776F87">
        <w:rPr>
          <w:rFonts w:ascii="Times New Roman" w:hAnsi="Times New Roman" w:cs="Times New Roman"/>
          <w:noProof/>
          <w:color w:val="003399"/>
          <w:sz w:val="18"/>
          <w:szCs w:val="18"/>
          <w:lang w:bidi="ps-AF"/>
        </w:rPr>
        <w:t>vol. 112, p. 103850, 2020.Available at: https://doi.org/10.1016/j.jedc.2020.103850.</w:t>
      </w:r>
      <w:bookmarkEnd w:id="48"/>
    </w:p>
    <w:p w14:paraId="7745C08A"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49" w:name="_ENREF_33"/>
      <w:r w:rsidRPr="00776F87">
        <w:rPr>
          <w:rFonts w:ascii="Times New Roman" w:hAnsi="Times New Roman" w:cs="Times New Roman"/>
          <w:noProof/>
          <w:color w:val="003399"/>
          <w:sz w:val="18"/>
          <w:szCs w:val="18"/>
          <w:lang w:bidi="ps-AF"/>
        </w:rPr>
        <w:t>[33]</w:t>
      </w:r>
      <w:r w:rsidRPr="00776F87">
        <w:rPr>
          <w:rFonts w:ascii="Times New Roman" w:hAnsi="Times New Roman" w:cs="Times New Roman"/>
          <w:noProof/>
          <w:color w:val="003399"/>
          <w:sz w:val="18"/>
          <w:szCs w:val="18"/>
          <w:lang w:bidi="ps-AF"/>
        </w:rPr>
        <w:tab/>
        <w:t xml:space="preserve">J.-L. Combes, T. Kinda, R. Ouedraogo, and P. Plane, "Financial flows and economic growth in developing countries," </w:t>
      </w:r>
      <w:r w:rsidRPr="00776F87">
        <w:rPr>
          <w:rFonts w:ascii="Times New Roman" w:hAnsi="Times New Roman" w:cs="Times New Roman"/>
          <w:i/>
          <w:noProof/>
          <w:color w:val="003399"/>
          <w:sz w:val="18"/>
          <w:szCs w:val="18"/>
          <w:lang w:bidi="ps-AF"/>
        </w:rPr>
        <w:t xml:space="preserve">Economic Modelling, </w:t>
      </w:r>
      <w:r w:rsidRPr="00776F87">
        <w:rPr>
          <w:rFonts w:ascii="Times New Roman" w:hAnsi="Times New Roman" w:cs="Times New Roman"/>
          <w:noProof/>
          <w:color w:val="003399"/>
          <w:sz w:val="18"/>
          <w:szCs w:val="18"/>
          <w:lang w:bidi="ps-AF"/>
        </w:rPr>
        <w:t>vol. 83, pp. 195-209, 2019.Available at: https://doi.org/10.1016/j.econmod.2019.02.010.</w:t>
      </w:r>
      <w:bookmarkEnd w:id="49"/>
    </w:p>
    <w:p w14:paraId="0744FF18"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50" w:name="_ENREF_34"/>
      <w:r w:rsidRPr="00776F87">
        <w:rPr>
          <w:rFonts w:ascii="Times New Roman" w:hAnsi="Times New Roman" w:cs="Times New Roman"/>
          <w:noProof/>
          <w:color w:val="003399"/>
          <w:sz w:val="18"/>
          <w:szCs w:val="18"/>
          <w:lang w:bidi="ps-AF"/>
        </w:rPr>
        <w:t>[34]</w:t>
      </w:r>
      <w:r w:rsidRPr="00776F87">
        <w:rPr>
          <w:rFonts w:ascii="Times New Roman" w:hAnsi="Times New Roman" w:cs="Times New Roman"/>
          <w:noProof/>
          <w:color w:val="003399"/>
          <w:sz w:val="18"/>
          <w:szCs w:val="18"/>
          <w:lang w:bidi="ps-AF"/>
        </w:rPr>
        <w:tab/>
        <w:t xml:space="preserve">E. N. Twinoburyo and N. M. Odhiambo, "Monetary policy and economic growth: A review of international literature," </w:t>
      </w:r>
      <w:r w:rsidRPr="00776F87">
        <w:rPr>
          <w:rFonts w:ascii="Times New Roman" w:hAnsi="Times New Roman" w:cs="Times New Roman"/>
          <w:i/>
          <w:noProof/>
          <w:color w:val="003399"/>
          <w:sz w:val="18"/>
          <w:szCs w:val="18"/>
          <w:lang w:bidi="ps-AF"/>
        </w:rPr>
        <w:t xml:space="preserve">Journal of Central Banking Theory and Practice, </w:t>
      </w:r>
      <w:r w:rsidRPr="00776F87">
        <w:rPr>
          <w:rFonts w:ascii="Times New Roman" w:hAnsi="Times New Roman" w:cs="Times New Roman"/>
          <w:noProof/>
          <w:color w:val="003399"/>
          <w:sz w:val="18"/>
          <w:szCs w:val="18"/>
          <w:lang w:bidi="ps-AF"/>
        </w:rPr>
        <w:t>vol. 7, pp. 123-137, 2018.Available at: https://doi.org/10.2478/jcbtp-2018-0015.</w:t>
      </w:r>
      <w:bookmarkEnd w:id="50"/>
    </w:p>
    <w:p w14:paraId="0E651D99"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51" w:name="_ENREF_35"/>
      <w:r w:rsidRPr="00776F87">
        <w:rPr>
          <w:rFonts w:ascii="Times New Roman" w:hAnsi="Times New Roman" w:cs="Times New Roman"/>
          <w:noProof/>
          <w:color w:val="003399"/>
          <w:sz w:val="18"/>
          <w:szCs w:val="18"/>
          <w:lang w:bidi="ps-AF"/>
        </w:rPr>
        <w:t>[35]</w:t>
      </w:r>
      <w:r w:rsidRPr="00776F87">
        <w:rPr>
          <w:rFonts w:ascii="Times New Roman" w:hAnsi="Times New Roman" w:cs="Times New Roman"/>
          <w:noProof/>
          <w:color w:val="003399"/>
          <w:sz w:val="18"/>
          <w:szCs w:val="18"/>
          <w:lang w:bidi="ps-AF"/>
        </w:rPr>
        <w:tab/>
        <w:t xml:space="preserve">M. R. Wickens and T. S. Breusch, "Dynamic specification, the long-run and the estimation of transformed regression models," </w:t>
      </w:r>
      <w:r w:rsidRPr="00776F87">
        <w:rPr>
          <w:rFonts w:ascii="Times New Roman" w:hAnsi="Times New Roman" w:cs="Times New Roman"/>
          <w:i/>
          <w:noProof/>
          <w:color w:val="003399"/>
          <w:sz w:val="18"/>
          <w:szCs w:val="18"/>
          <w:lang w:bidi="ps-AF"/>
        </w:rPr>
        <w:t xml:space="preserve">The Economic Journal, </w:t>
      </w:r>
      <w:r w:rsidRPr="00776F87">
        <w:rPr>
          <w:rFonts w:ascii="Times New Roman" w:hAnsi="Times New Roman" w:cs="Times New Roman"/>
          <w:noProof/>
          <w:color w:val="003399"/>
          <w:sz w:val="18"/>
          <w:szCs w:val="18"/>
          <w:lang w:bidi="ps-AF"/>
        </w:rPr>
        <w:t>vol. 98, pp. 189-205, 1988.Available at: https://doi.org/10.2307/2233314.</w:t>
      </w:r>
      <w:bookmarkEnd w:id="51"/>
    </w:p>
    <w:p w14:paraId="61C652F5"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52" w:name="_ENREF_36"/>
      <w:r w:rsidRPr="00776F87">
        <w:rPr>
          <w:rFonts w:ascii="Times New Roman" w:hAnsi="Times New Roman" w:cs="Times New Roman"/>
          <w:noProof/>
          <w:color w:val="003399"/>
          <w:sz w:val="18"/>
          <w:szCs w:val="18"/>
          <w:lang w:bidi="ps-AF"/>
        </w:rPr>
        <w:t>[36]</w:t>
      </w:r>
      <w:r w:rsidRPr="00776F87">
        <w:rPr>
          <w:rFonts w:ascii="Times New Roman" w:hAnsi="Times New Roman" w:cs="Times New Roman"/>
          <w:noProof/>
          <w:color w:val="003399"/>
          <w:sz w:val="18"/>
          <w:szCs w:val="18"/>
          <w:lang w:bidi="ps-AF"/>
        </w:rPr>
        <w:tab/>
        <w:t xml:space="preserve">C. S. Weber, "The effect of central bank transparency on exchange rate volatility," </w:t>
      </w:r>
      <w:r w:rsidRPr="00776F87">
        <w:rPr>
          <w:rFonts w:ascii="Times New Roman" w:hAnsi="Times New Roman" w:cs="Times New Roman"/>
          <w:i/>
          <w:noProof/>
          <w:color w:val="003399"/>
          <w:sz w:val="18"/>
          <w:szCs w:val="18"/>
          <w:lang w:bidi="ps-AF"/>
        </w:rPr>
        <w:t xml:space="preserve">Journal of International Money and Finance, </w:t>
      </w:r>
      <w:r w:rsidRPr="00776F87">
        <w:rPr>
          <w:rFonts w:ascii="Times New Roman" w:hAnsi="Times New Roman" w:cs="Times New Roman"/>
          <w:noProof/>
          <w:color w:val="003399"/>
          <w:sz w:val="18"/>
          <w:szCs w:val="18"/>
          <w:lang w:bidi="ps-AF"/>
        </w:rPr>
        <w:t>vol. 95, pp. 165-181, 2019.Available at: https://doi.org/10.1016/j.jimonfin.2019.04.002.</w:t>
      </w:r>
      <w:bookmarkEnd w:id="52"/>
    </w:p>
    <w:p w14:paraId="1EB10DEB"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53" w:name="_ENREF_37"/>
      <w:r w:rsidRPr="00776F87">
        <w:rPr>
          <w:rFonts w:ascii="Times New Roman" w:hAnsi="Times New Roman" w:cs="Times New Roman"/>
          <w:noProof/>
          <w:color w:val="003399"/>
          <w:sz w:val="18"/>
          <w:szCs w:val="18"/>
          <w:lang w:bidi="ps-AF"/>
        </w:rPr>
        <w:t>[37]</w:t>
      </w:r>
      <w:r w:rsidRPr="00776F87">
        <w:rPr>
          <w:rFonts w:ascii="Times New Roman" w:hAnsi="Times New Roman" w:cs="Times New Roman"/>
          <w:noProof/>
          <w:color w:val="003399"/>
          <w:sz w:val="18"/>
          <w:szCs w:val="18"/>
          <w:lang w:bidi="ps-AF"/>
        </w:rPr>
        <w:tab/>
        <w:t xml:space="preserve">R. Dornbusch, "Expectations and exchange rate dynamics," </w:t>
      </w:r>
      <w:r w:rsidRPr="00776F87">
        <w:rPr>
          <w:rFonts w:ascii="Times New Roman" w:hAnsi="Times New Roman" w:cs="Times New Roman"/>
          <w:i/>
          <w:noProof/>
          <w:color w:val="003399"/>
          <w:sz w:val="18"/>
          <w:szCs w:val="18"/>
          <w:lang w:bidi="ps-AF"/>
        </w:rPr>
        <w:t xml:space="preserve">Journal of Political Economy, </w:t>
      </w:r>
      <w:r w:rsidRPr="00776F87">
        <w:rPr>
          <w:rFonts w:ascii="Times New Roman" w:hAnsi="Times New Roman" w:cs="Times New Roman"/>
          <w:noProof/>
          <w:color w:val="003399"/>
          <w:sz w:val="18"/>
          <w:szCs w:val="18"/>
          <w:lang w:bidi="ps-AF"/>
        </w:rPr>
        <w:t>vol. 84, pp. 1161-1176, 1976.</w:t>
      </w:r>
      <w:bookmarkEnd w:id="53"/>
    </w:p>
    <w:p w14:paraId="1F6E39A6"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54" w:name="_ENREF_38"/>
      <w:r w:rsidRPr="00776F87">
        <w:rPr>
          <w:rFonts w:ascii="Times New Roman" w:hAnsi="Times New Roman" w:cs="Times New Roman"/>
          <w:noProof/>
          <w:color w:val="003399"/>
          <w:sz w:val="18"/>
          <w:szCs w:val="18"/>
          <w:lang w:bidi="ps-AF"/>
        </w:rPr>
        <w:t>[38]</w:t>
      </w:r>
      <w:r w:rsidRPr="00776F87">
        <w:rPr>
          <w:rFonts w:ascii="Times New Roman" w:hAnsi="Times New Roman" w:cs="Times New Roman"/>
          <w:noProof/>
          <w:color w:val="003399"/>
          <w:sz w:val="18"/>
          <w:szCs w:val="18"/>
          <w:lang w:bidi="ps-AF"/>
        </w:rPr>
        <w:tab/>
        <w:t xml:space="preserve">J. B. Taylor, "The role of the exchange rate in monetary-policy rules," </w:t>
      </w:r>
      <w:r w:rsidRPr="00776F87">
        <w:rPr>
          <w:rFonts w:ascii="Times New Roman" w:hAnsi="Times New Roman" w:cs="Times New Roman"/>
          <w:i/>
          <w:noProof/>
          <w:color w:val="003399"/>
          <w:sz w:val="18"/>
          <w:szCs w:val="18"/>
          <w:lang w:bidi="ps-AF"/>
        </w:rPr>
        <w:t xml:space="preserve">American Economic Review, </w:t>
      </w:r>
      <w:r w:rsidRPr="00776F87">
        <w:rPr>
          <w:rFonts w:ascii="Times New Roman" w:hAnsi="Times New Roman" w:cs="Times New Roman"/>
          <w:noProof/>
          <w:color w:val="003399"/>
          <w:sz w:val="18"/>
          <w:szCs w:val="18"/>
          <w:lang w:bidi="ps-AF"/>
        </w:rPr>
        <w:t>vol. 91, pp. 263-267, 2001.Available at: https://doi.org/10.1257/aer.91.2.263.</w:t>
      </w:r>
      <w:bookmarkEnd w:id="54"/>
    </w:p>
    <w:p w14:paraId="60F6BCD3"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55" w:name="_ENREF_39"/>
      <w:r w:rsidRPr="00776F87">
        <w:rPr>
          <w:rFonts w:ascii="Times New Roman" w:hAnsi="Times New Roman" w:cs="Times New Roman"/>
          <w:noProof/>
          <w:color w:val="003399"/>
          <w:sz w:val="18"/>
          <w:szCs w:val="18"/>
          <w:lang w:bidi="ps-AF"/>
        </w:rPr>
        <w:t>[39]</w:t>
      </w:r>
      <w:r w:rsidRPr="00776F87">
        <w:rPr>
          <w:rFonts w:ascii="Times New Roman" w:hAnsi="Times New Roman" w:cs="Times New Roman"/>
          <w:noProof/>
          <w:color w:val="003399"/>
          <w:sz w:val="18"/>
          <w:szCs w:val="18"/>
          <w:lang w:bidi="ps-AF"/>
        </w:rPr>
        <w:tab/>
        <w:t xml:space="preserve">R. E. Lucas Jr, "Expectations and the neutrality of money," </w:t>
      </w:r>
      <w:r w:rsidRPr="00776F87">
        <w:rPr>
          <w:rFonts w:ascii="Times New Roman" w:hAnsi="Times New Roman" w:cs="Times New Roman"/>
          <w:i/>
          <w:noProof/>
          <w:color w:val="003399"/>
          <w:sz w:val="18"/>
          <w:szCs w:val="18"/>
          <w:lang w:bidi="ps-AF"/>
        </w:rPr>
        <w:t xml:space="preserve">Journal of Economic Theory, </w:t>
      </w:r>
      <w:r w:rsidRPr="00776F87">
        <w:rPr>
          <w:rFonts w:ascii="Times New Roman" w:hAnsi="Times New Roman" w:cs="Times New Roman"/>
          <w:noProof/>
          <w:color w:val="003399"/>
          <w:sz w:val="18"/>
          <w:szCs w:val="18"/>
          <w:lang w:bidi="ps-AF"/>
        </w:rPr>
        <w:t>vol. 4, pp. 103-124, 1972.Available at: https://doi.org/10.1016/0022-0531(72)90142-1.</w:t>
      </w:r>
      <w:bookmarkEnd w:id="55"/>
    </w:p>
    <w:p w14:paraId="54B6735F" w14:textId="77777777" w:rsidR="00AF2A4C" w:rsidRPr="00776F87" w:rsidRDefault="00AF2A4C" w:rsidP="00AF2A4C">
      <w:pPr>
        <w:spacing w:after="0" w:line="240" w:lineRule="auto"/>
        <w:ind w:left="720" w:hanging="720"/>
        <w:jc w:val="both"/>
        <w:rPr>
          <w:rFonts w:ascii="Times New Roman" w:hAnsi="Times New Roman" w:cs="Times New Roman"/>
          <w:noProof/>
          <w:color w:val="003399"/>
          <w:sz w:val="18"/>
          <w:szCs w:val="18"/>
          <w:lang w:bidi="ps-AF"/>
        </w:rPr>
      </w:pPr>
      <w:bookmarkStart w:id="56" w:name="_ENREF_40"/>
      <w:r w:rsidRPr="00776F87">
        <w:rPr>
          <w:rFonts w:ascii="Times New Roman" w:hAnsi="Times New Roman" w:cs="Times New Roman"/>
          <w:noProof/>
          <w:color w:val="003399"/>
          <w:sz w:val="18"/>
          <w:szCs w:val="18"/>
          <w:lang w:bidi="ps-AF"/>
        </w:rPr>
        <w:t>[40]</w:t>
      </w:r>
      <w:r w:rsidRPr="00776F87">
        <w:rPr>
          <w:rFonts w:ascii="Times New Roman" w:hAnsi="Times New Roman" w:cs="Times New Roman"/>
          <w:noProof/>
          <w:color w:val="003399"/>
          <w:sz w:val="18"/>
          <w:szCs w:val="18"/>
          <w:lang w:bidi="ps-AF"/>
        </w:rPr>
        <w:tab/>
        <w:t xml:space="preserve">P. C. Phillips and B. E. Hansen, "Statistical inference in instrumental variables regression with I (1) processes," </w:t>
      </w:r>
      <w:r w:rsidRPr="00776F87">
        <w:rPr>
          <w:rFonts w:ascii="Times New Roman" w:hAnsi="Times New Roman" w:cs="Times New Roman"/>
          <w:i/>
          <w:noProof/>
          <w:color w:val="003399"/>
          <w:sz w:val="18"/>
          <w:szCs w:val="18"/>
          <w:lang w:bidi="ps-AF"/>
        </w:rPr>
        <w:t xml:space="preserve">The Review of Economic Studies, </w:t>
      </w:r>
      <w:r w:rsidRPr="00776F87">
        <w:rPr>
          <w:rFonts w:ascii="Times New Roman" w:hAnsi="Times New Roman" w:cs="Times New Roman"/>
          <w:noProof/>
          <w:color w:val="003399"/>
          <w:sz w:val="18"/>
          <w:szCs w:val="18"/>
          <w:lang w:bidi="ps-AF"/>
        </w:rPr>
        <w:t>vol. 57, pp. 99-125, 1990.Available at: https://doi.org/10.2307/2297545.</w:t>
      </w:r>
      <w:bookmarkEnd w:id="56"/>
    </w:p>
    <w:p w14:paraId="06970194" w14:textId="24185660" w:rsidR="00AF2A4C" w:rsidRPr="00776F87" w:rsidRDefault="00AF2A4C" w:rsidP="00AF2A4C">
      <w:pPr>
        <w:spacing w:line="240" w:lineRule="auto"/>
        <w:jc w:val="both"/>
        <w:rPr>
          <w:rFonts w:ascii="Times New Roman" w:hAnsi="Times New Roman" w:cs="Times New Roman"/>
          <w:noProof/>
          <w:color w:val="003399"/>
          <w:sz w:val="18"/>
          <w:szCs w:val="18"/>
          <w:lang w:bidi="ps-AF"/>
        </w:rPr>
      </w:pPr>
    </w:p>
    <w:p w14:paraId="797BB3C3" w14:textId="0741E912" w:rsidR="00934106" w:rsidRPr="00776F87" w:rsidRDefault="00323A06" w:rsidP="0009791D">
      <w:pPr>
        <w:spacing w:after="0" w:line="240" w:lineRule="auto"/>
        <w:ind w:left="720" w:hanging="720"/>
        <w:jc w:val="both"/>
        <w:rPr>
          <w:rFonts w:ascii="Times New Roman" w:hAnsi="Times New Roman" w:cs="Times New Roman"/>
          <w:color w:val="003399"/>
          <w:sz w:val="18"/>
          <w:szCs w:val="18"/>
          <w:lang w:bidi="ps-AF"/>
        </w:rPr>
      </w:pPr>
      <w:r w:rsidRPr="00776F87">
        <w:rPr>
          <w:rFonts w:ascii="Times New Roman" w:hAnsi="Times New Roman" w:cs="Times New Roman"/>
          <w:color w:val="003399"/>
          <w:sz w:val="18"/>
          <w:szCs w:val="18"/>
          <w:lang w:bidi="ps-AF"/>
        </w:rPr>
        <w:fldChar w:fldCharType="end"/>
      </w:r>
    </w:p>
    <w:p w14:paraId="4054E285" w14:textId="1382E814" w:rsidR="0009791D" w:rsidRPr="00776F87" w:rsidRDefault="0009791D" w:rsidP="0009791D">
      <w:pPr>
        <w:spacing w:after="0" w:line="240" w:lineRule="auto"/>
        <w:jc w:val="both"/>
        <w:rPr>
          <w:rFonts w:ascii="Times New Roman" w:hAnsi="Times New Roman" w:cs="Times New Roman"/>
          <w:color w:val="003399"/>
          <w:sz w:val="18"/>
          <w:szCs w:val="18"/>
          <w:lang w:bidi="ps-AF"/>
        </w:rPr>
      </w:pPr>
    </w:p>
    <w:p w14:paraId="200DFFFD" w14:textId="0351E676" w:rsidR="00170559" w:rsidRPr="00776F87" w:rsidRDefault="00170559" w:rsidP="0009791D">
      <w:pPr>
        <w:spacing w:after="0" w:line="240" w:lineRule="auto"/>
        <w:jc w:val="both"/>
        <w:rPr>
          <w:rFonts w:ascii="Times New Roman" w:hAnsi="Times New Roman" w:cs="Times New Roman"/>
          <w:color w:val="003399"/>
          <w:sz w:val="18"/>
          <w:szCs w:val="18"/>
          <w:lang w:bidi="ps-AF"/>
        </w:rPr>
      </w:pPr>
    </w:p>
    <w:p w14:paraId="7C4FF75C" w14:textId="77777777" w:rsidR="00170559" w:rsidRPr="00776F87" w:rsidRDefault="00170559" w:rsidP="00170559">
      <w:pPr>
        <w:rPr>
          <w:rFonts w:ascii="Bell MT" w:hAnsi="Bell MT" w:cs="Times New Roman"/>
          <w:color w:val="003399"/>
          <w:sz w:val="18"/>
          <w:szCs w:val="18"/>
          <w:lang w:bidi="ps-AF"/>
        </w:rPr>
      </w:pPr>
    </w:p>
    <w:p w14:paraId="599AAE27" w14:textId="77777777" w:rsidR="00170559" w:rsidRPr="00170559" w:rsidRDefault="00170559" w:rsidP="00170559">
      <w:pPr>
        <w:rPr>
          <w:rFonts w:ascii="Bell MT" w:hAnsi="Bell MT" w:cs="Times New Roman"/>
          <w:sz w:val="18"/>
          <w:szCs w:val="18"/>
          <w:lang w:bidi="ps-AF"/>
        </w:rPr>
      </w:pPr>
    </w:p>
    <w:p w14:paraId="7802F2D0" w14:textId="1E17E4A3" w:rsidR="00170559" w:rsidRDefault="00170559" w:rsidP="00170559">
      <w:pPr>
        <w:rPr>
          <w:rFonts w:ascii="Bell MT" w:hAnsi="Bell MT" w:cs="Times New Roman"/>
          <w:sz w:val="18"/>
          <w:szCs w:val="18"/>
          <w:lang w:bidi="ps-AF"/>
        </w:rPr>
      </w:pPr>
    </w:p>
    <w:p w14:paraId="40A76855" w14:textId="5C339EBE" w:rsidR="00170559" w:rsidRPr="00F31B83" w:rsidRDefault="00170559" w:rsidP="00D80887">
      <w:pPr>
        <w:jc w:val="center"/>
        <w:rPr>
          <w:bCs/>
          <w:color w:val="000000"/>
        </w:rPr>
      </w:pPr>
      <w:r>
        <w:rPr>
          <w:rFonts w:ascii="Bell MT" w:hAnsi="Bell MT" w:cs="Times New Roman"/>
          <w:sz w:val="18"/>
          <w:szCs w:val="18"/>
          <w:lang w:bidi="ps-AF"/>
        </w:rPr>
        <w:tab/>
      </w:r>
    </w:p>
    <w:p w14:paraId="15AB0C39" w14:textId="6C31C1D6" w:rsidR="0009791D" w:rsidRPr="00170559" w:rsidRDefault="0009791D" w:rsidP="00170559">
      <w:pPr>
        <w:tabs>
          <w:tab w:val="left" w:pos="3254"/>
        </w:tabs>
        <w:rPr>
          <w:rFonts w:ascii="Bell MT" w:hAnsi="Bell MT" w:cs="Times New Roman"/>
          <w:sz w:val="18"/>
          <w:szCs w:val="18"/>
          <w:lang w:bidi="ps-AF"/>
        </w:rPr>
      </w:pPr>
    </w:p>
    <w:sectPr w:rsidR="0009791D" w:rsidRPr="00170559" w:rsidSect="00776F87">
      <w:headerReference w:type="even" r:id="rId29"/>
      <w:headerReference w:type="default" r:id="rId30"/>
      <w:footerReference w:type="even" r:id="rId31"/>
      <w:footerReference w:type="default" r:id="rId32"/>
      <w:headerReference w:type="first" r:id="rId33"/>
      <w:footerReference w:type="first" r:id="rId34"/>
      <w:pgSz w:w="11907" w:h="16839"/>
      <w:pgMar w:top="1134" w:right="851" w:bottom="1134" w:left="1134" w:header="720" w:footer="720" w:gutter="0"/>
      <w:pgNumType w:start="34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FB1E7" w14:textId="77777777" w:rsidR="001E7704" w:rsidRDefault="001E7704" w:rsidP="00BA185D">
      <w:pPr>
        <w:spacing w:after="0" w:line="240" w:lineRule="auto"/>
      </w:pPr>
      <w:r>
        <w:separator/>
      </w:r>
    </w:p>
  </w:endnote>
  <w:endnote w:type="continuationSeparator" w:id="0">
    <w:p w14:paraId="00AB8E53" w14:textId="77777777" w:rsidR="001E7704" w:rsidRDefault="001E7704" w:rsidP="00BA1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Bell MT">
    <w:altName w:val="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326E2" w14:textId="77777777" w:rsidR="00351F3C" w:rsidRDefault="00351F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304142"/>
      <w:docPartObj>
        <w:docPartGallery w:val="Page Numbers (Bottom of Page)"/>
        <w:docPartUnique/>
      </w:docPartObj>
    </w:sdtPr>
    <w:sdtEndPr>
      <w:rPr>
        <w:rFonts w:ascii="Times New Roman" w:hAnsi="Times New Roman" w:cs="Times New Roman"/>
        <w:noProof/>
        <w:sz w:val="20"/>
        <w:szCs w:val="20"/>
      </w:rPr>
    </w:sdtEndPr>
    <w:sdtContent>
      <w:p w14:paraId="455B251E" w14:textId="77777777" w:rsidR="00C87C9C" w:rsidRPr="00776F87" w:rsidRDefault="00C87C9C" w:rsidP="005830A2">
        <w:pPr>
          <w:pStyle w:val="Footer"/>
          <w:jc w:val="center"/>
          <w:rPr>
            <w:rFonts w:ascii="Times New Roman" w:hAnsi="Times New Roman" w:cs="Times New Roman"/>
            <w:sz w:val="20"/>
            <w:szCs w:val="20"/>
          </w:rPr>
        </w:pPr>
        <w:r w:rsidRPr="00776F87">
          <w:rPr>
            <w:rFonts w:ascii="Times New Roman" w:hAnsi="Times New Roman" w:cs="Times New Roman"/>
            <w:sz w:val="20"/>
            <w:szCs w:val="20"/>
          </w:rPr>
          <w:fldChar w:fldCharType="begin"/>
        </w:r>
        <w:r w:rsidRPr="00776F87">
          <w:rPr>
            <w:rFonts w:ascii="Times New Roman" w:hAnsi="Times New Roman" w:cs="Times New Roman"/>
            <w:sz w:val="20"/>
            <w:szCs w:val="20"/>
          </w:rPr>
          <w:instrText xml:space="preserve"> PAGE   \* MERGEFORMAT </w:instrText>
        </w:r>
        <w:r w:rsidRPr="00776F87">
          <w:rPr>
            <w:rFonts w:ascii="Times New Roman" w:hAnsi="Times New Roman" w:cs="Times New Roman"/>
            <w:sz w:val="20"/>
            <w:szCs w:val="20"/>
          </w:rPr>
          <w:fldChar w:fldCharType="separate"/>
        </w:r>
        <w:r w:rsidR="005C3A34" w:rsidRPr="00776F87">
          <w:rPr>
            <w:rFonts w:ascii="Times New Roman" w:hAnsi="Times New Roman" w:cs="Times New Roman"/>
            <w:noProof/>
            <w:sz w:val="20"/>
            <w:szCs w:val="20"/>
          </w:rPr>
          <w:t>8</w:t>
        </w:r>
        <w:r w:rsidRPr="00776F87">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034035"/>
      <w:docPartObj>
        <w:docPartGallery w:val="Page Numbers (Bottom of Page)"/>
        <w:docPartUnique/>
      </w:docPartObj>
    </w:sdtPr>
    <w:sdtEndPr>
      <w:rPr>
        <w:rFonts w:ascii="Times New Roman" w:hAnsi="Times New Roman" w:cs="Times New Roman"/>
        <w:noProof/>
        <w:sz w:val="20"/>
        <w:szCs w:val="20"/>
      </w:rPr>
    </w:sdtEndPr>
    <w:sdtContent>
      <w:p w14:paraId="514C4F61" w14:textId="1BAB6FAB" w:rsidR="00776F87" w:rsidRPr="00776F87" w:rsidRDefault="00776F87" w:rsidP="00776F87">
        <w:pPr>
          <w:pStyle w:val="Footer"/>
          <w:jc w:val="center"/>
          <w:rPr>
            <w:rFonts w:ascii="Times New Roman" w:hAnsi="Times New Roman" w:cs="Times New Roman"/>
            <w:sz w:val="20"/>
            <w:szCs w:val="20"/>
          </w:rPr>
        </w:pPr>
        <w:r w:rsidRPr="00776F87">
          <w:rPr>
            <w:rFonts w:ascii="Times New Roman" w:hAnsi="Times New Roman" w:cs="Times New Roman"/>
            <w:sz w:val="20"/>
            <w:szCs w:val="20"/>
          </w:rPr>
          <w:fldChar w:fldCharType="begin"/>
        </w:r>
        <w:r w:rsidRPr="00776F87">
          <w:rPr>
            <w:rFonts w:ascii="Times New Roman" w:hAnsi="Times New Roman" w:cs="Times New Roman"/>
            <w:sz w:val="20"/>
            <w:szCs w:val="20"/>
          </w:rPr>
          <w:instrText xml:space="preserve"> PAGE   \* MERGEFORMAT </w:instrText>
        </w:r>
        <w:r w:rsidRPr="00776F87">
          <w:rPr>
            <w:rFonts w:ascii="Times New Roman" w:hAnsi="Times New Roman" w:cs="Times New Roman"/>
            <w:sz w:val="20"/>
            <w:szCs w:val="20"/>
          </w:rPr>
          <w:fldChar w:fldCharType="separate"/>
        </w:r>
        <w:r w:rsidRPr="00776F87">
          <w:rPr>
            <w:rFonts w:ascii="Times New Roman" w:hAnsi="Times New Roman" w:cs="Times New Roman"/>
            <w:noProof/>
            <w:sz w:val="20"/>
            <w:szCs w:val="20"/>
          </w:rPr>
          <w:t>2</w:t>
        </w:r>
        <w:r w:rsidRPr="00776F87">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1A1D8" w14:textId="77777777" w:rsidR="001E7704" w:rsidRDefault="001E7704" w:rsidP="00BA185D">
      <w:pPr>
        <w:spacing w:after="0" w:line="240" w:lineRule="auto"/>
      </w:pPr>
      <w:r>
        <w:separator/>
      </w:r>
    </w:p>
  </w:footnote>
  <w:footnote w:type="continuationSeparator" w:id="0">
    <w:p w14:paraId="2D619A00" w14:textId="77777777" w:rsidR="001E7704" w:rsidRDefault="001E7704" w:rsidP="00BA1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B5738" w14:textId="77777777" w:rsidR="00351F3C" w:rsidRDefault="00351F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F9D88" w14:textId="6F0D7ACF" w:rsidR="00C87C9C" w:rsidRPr="006C308F" w:rsidRDefault="00C87C9C" w:rsidP="00351F3C">
    <w:pPr>
      <w:spacing w:line="276" w:lineRule="auto"/>
      <w:jc w:val="right"/>
      <w:rPr>
        <w:rFonts w:ascii="Times New Roman" w:eastAsia="Times New Roman" w:hAnsi="Times New Roman" w:cs="Times New Roman"/>
        <w:sz w:val="24"/>
        <w:vertAlign w:val="superscript"/>
      </w:rPr>
    </w:pPr>
    <w:bookmarkStart w:id="57" w:name="_GoBack"/>
    <w:bookmarkEnd w:id="57"/>
    <w:r>
      <w:rPr>
        <w:rFonts w:ascii="Times New Roman" w:eastAsia="Times New Roman" w:hAnsi="Times New Roman" w:cs="Times New Roman"/>
        <w:sz w:val="24"/>
        <w:vertAlign w:val="superscript"/>
      </w:rPr>
      <w:tab/>
    </w:r>
    <w:r>
      <w:rPr>
        <w:rFonts w:ascii="Times New Roman" w:hAnsi="Times New Roman" w:cs="Times New Roman"/>
        <w:i/>
        <w:iCs/>
        <w:color w:val="000000" w:themeColor="text1"/>
        <w:sz w:val="18"/>
        <w:szCs w:val="18"/>
      </w:rPr>
      <w:t xml:space="preserve">               </w:t>
    </w:r>
    <w:r w:rsidRPr="008F44A8">
      <w:rPr>
        <w:rFonts w:ascii="Times New Roman" w:hAnsi="Times New Roman" w:cs="Times New Roman"/>
        <w:i/>
        <w:iCs/>
        <w:color w:val="000000" w:themeColor="text1"/>
        <w:sz w:val="18"/>
        <w:szCs w:val="18"/>
      </w:rPr>
      <w:t>International Journal of Innovative Research and Scientific Studies</w:t>
    </w:r>
    <w:r>
      <w:rPr>
        <w:rFonts w:ascii="Times New Roman" w:hAnsi="Times New Roman" w:cs="Times New Roman"/>
        <w:i/>
        <w:iCs/>
        <w:color w:val="000000" w:themeColor="text1"/>
        <w:sz w:val="18"/>
        <w:szCs w:val="18"/>
      </w:rPr>
      <w:t xml:space="preserve">, </w:t>
    </w:r>
    <w:r w:rsidR="00776F87">
      <w:rPr>
        <w:rFonts w:ascii="Times New Roman" w:hAnsi="Times New Roman" w:cs="Times New Roman"/>
        <w:i/>
        <w:iCs/>
        <w:color w:val="000000" w:themeColor="text1"/>
        <w:sz w:val="18"/>
        <w:szCs w:val="18"/>
      </w:rPr>
      <w:t>5</w:t>
    </w:r>
    <w:r w:rsidRPr="00C236B2">
      <w:rPr>
        <w:rFonts w:ascii="Times New Roman" w:hAnsi="Times New Roman" w:cs="Times New Roman"/>
        <w:i/>
        <w:iCs/>
        <w:color w:val="000000" w:themeColor="text1"/>
        <w:sz w:val="18"/>
        <w:szCs w:val="18"/>
      </w:rPr>
      <w:t>(</w:t>
    </w:r>
    <w:r w:rsidR="00776F87">
      <w:rPr>
        <w:rFonts w:ascii="Times New Roman" w:hAnsi="Times New Roman" w:cs="Times New Roman"/>
        <w:i/>
        <w:iCs/>
        <w:color w:val="000000" w:themeColor="text1"/>
        <w:sz w:val="18"/>
        <w:szCs w:val="18"/>
      </w:rPr>
      <w:t>4</w:t>
    </w:r>
    <w:r w:rsidRPr="00C236B2">
      <w:rPr>
        <w:rFonts w:ascii="Times New Roman" w:hAnsi="Times New Roman" w:cs="Times New Roman"/>
        <w:i/>
        <w:iCs/>
        <w:color w:val="000000" w:themeColor="text1"/>
        <w:sz w:val="18"/>
        <w:szCs w:val="18"/>
      </w:rPr>
      <w:t xml:space="preserve">) </w:t>
    </w:r>
    <w:r w:rsidRPr="00870CD5">
      <w:rPr>
        <w:rFonts w:ascii="Times New Roman" w:hAnsi="Times New Roman" w:cs="Times New Roman"/>
        <w:i/>
        <w:iCs/>
        <w:color w:val="000000" w:themeColor="text1"/>
        <w:sz w:val="18"/>
        <w:szCs w:val="18"/>
      </w:rPr>
      <w:t>2022</w:t>
    </w:r>
    <w:r w:rsidRPr="00C236B2">
      <w:rPr>
        <w:rFonts w:ascii="Times New Roman" w:hAnsi="Times New Roman" w:cs="Times New Roman"/>
        <w:i/>
        <w:iCs/>
        <w:color w:val="000000" w:themeColor="text1"/>
        <w:sz w:val="18"/>
        <w:szCs w:val="18"/>
      </w:rPr>
      <w:t xml:space="preserve">, pages: </w:t>
    </w:r>
    <w:r w:rsidR="00776F87">
      <w:rPr>
        <w:rFonts w:ascii="Times New Roman" w:hAnsi="Times New Roman" w:cs="Times New Roman"/>
        <w:i/>
        <w:iCs/>
        <w:color w:val="000000" w:themeColor="text1"/>
        <w:sz w:val="18"/>
        <w:szCs w:val="18"/>
      </w:rPr>
      <w:t>343-353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6828C" w14:textId="77777777" w:rsidR="00351F3C" w:rsidRDefault="00351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A603B"/>
    <w:multiLevelType w:val="hybridMultilevel"/>
    <w:tmpl w:val="0062147A"/>
    <w:lvl w:ilvl="0" w:tplc="11EA9724">
      <w:start w:val="57"/>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26291D"/>
    <w:multiLevelType w:val="hybridMultilevel"/>
    <w:tmpl w:val="F94C85C0"/>
    <w:lvl w:ilvl="0" w:tplc="11EA9724">
      <w:start w:val="5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3208A"/>
    <w:multiLevelType w:val="hybridMultilevel"/>
    <w:tmpl w:val="DB10894E"/>
    <w:lvl w:ilvl="0" w:tplc="11EA9724">
      <w:start w:val="57"/>
      <w:numFmt w:val="bullet"/>
      <w:lvlText w:val="-"/>
      <w:lvlJc w:val="left"/>
      <w:pPr>
        <w:ind w:left="2986" w:hanging="360"/>
      </w:pPr>
      <w:rPr>
        <w:rFonts w:ascii="Times New Roman" w:eastAsiaTheme="minorHAnsi" w:hAnsi="Times New Roman" w:cs="Times New Roman" w:hint="default"/>
      </w:rPr>
    </w:lvl>
    <w:lvl w:ilvl="1" w:tplc="04090003" w:tentative="1">
      <w:start w:val="1"/>
      <w:numFmt w:val="bullet"/>
      <w:lvlText w:val="o"/>
      <w:lvlJc w:val="left"/>
      <w:pPr>
        <w:ind w:left="3706" w:hanging="360"/>
      </w:pPr>
      <w:rPr>
        <w:rFonts w:ascii="Courier New" w:hAnsi="Courier New" w:hint="default"/>
      </w:rPr>
    </w:lvl>
    <w:lvl w:ilvl="2" w:tplc="04090005" w:tentative="1">
      <w:start w:val="1"/>
      <w:numFmt w:val="bullet"/>
      <w:lvlText w:val=""/>
      <w:lvlJc w:val="left"/>
      <w:pPr>
        <w:ind w:left="4426" w:hanging="360"/>
      </w:pPr>
      <w:rPr>
        <w:rFonts w:ascii="Wingdings" w:hAnsi="Wingdings" w:hint="default"/>
      </w:rPr>
    </w:lvl>
    <w:lvl w:ilvl="3" w:tplc="04090001" w:tentative="1">
      <w:start w:val="1"/>
      <w:numFmt w:val="bullet"/>
      <w:lvlText w:val=""/>
      <w:lvlJc w:val="left"/>
      <w:pPr>
        <w:ind w:left="5146" w:hanging="360"/>
      </w:pPr>
      <w:rPr>
        <w:rFonts w:ascii="Symbol" w:hAnsi="Symbol" w:hint="default"/>
      </w:rPr>
    </w:lvl>
    <w:lvl w:ilvl="4" w:tplc="04090003" w:tentative="1">
      <w:start w:val="1"/>
      <w:numFmt w:val="bullet"/>
      <w:lvlText w:val="o"/>
      <w:lvlJc w:val="left"/>
      <w:pPr>
        <w:ind w:left="5866" w:hanging="360"/>
      </w:pPr>
      <w:rPr>
        <w:rFonts w:ascii="Courier New" w:hAnsi="Courier New" w:hint="default"/>
      </w:rPr>
    </w:lvl>
    <w:lvl w:ilvl="5" w:tplc="04090005" w:tentative="1">
      <w:start w:val="1"/>
      <w:numFmt w:val="bullet"/>
      <w:lvlText w:val=""/>
      <w:lvlJc w:val="left"/>
      <w:pPr>
        <w:ind w:left="6586" w:hanging="360"/>
      </w:pPr>
      <w:rPr>
        <w:rFonts w:ascii="Wingdings" w:hAnsi="Wingdings" w:hint="default"/>
      </w:rPr>
    </w:lvl>
    <w:lvl w:ilvl="6" w:tplc="04090001" w:tentative="1">
      <w:start w:val="1"/>
      <w:numFmt w:val="bullet"/>
      <w:lvlText w:val=""/>
      <w:lvlJc w:val="left"/>
      <w:pPr>
        <w:ind w:left="7306" w:hanging="360"/>
      </w:pPr>
      <w:rPr>
        <w:rFonts w:ascii="Symbol" w:hAnsi="Symbol" w:hint="default"/>
      </w:rPr>
    </w:lvl>
    <w:lvl w:ilvl="7" w:tplc="04090003" w:tentative="1">
      <w:start w:val="1"/>
      <w:numFmt w:val="bullet"/>
      <w:lvlText w:val="o"/>
      <w:lvlJc w:val="left"/>
      <w:pPr>
        <w:ind w:left="8026" w:hanging="360"/>
      </w:pPr>
      <w:rPr>
        <w:rFonts w:ascii="Courier New" w:hAnsi="Courier New" w:hint="default"/>
      </w:rPr>
    </w:lvl>
    <w:lvl w:ilvl="8" w:tplc="04090005" w:tentative="1">
      <w:start w:val="1"/>
      <w:numFmt w:val="bullet"/>
      <w:lvlText w:val=""/>
      <w:lvlJc w:val="left"/>
      <w:pPr>
        <w:ind w:left="8746" w:hanging="360"/>
      </w:pPr>
      <w:rPr>
        <w:rFonts w:ascii="Wingdings" w:hAnsi="Wingdings" w:hint="default"/>
      </w:rPr>
    </w:lvl>
  </w:abstractNum>
  <w:abstractNum w:abstractNumId="3" w15:restartNumberingAfterBreak="0">
    <w:nsid w:val="199A5B1E"/>
    <w:multiLevelType w:val="hybridMultilevel"/>
    <w:tmpl w:val="41AA816A"/>
    <w:lvl w:ilvl="0" w:tplc="5EA20A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EB558D"/>
    <w:multiLevelType w:val="hybridMultilevel"/>
    <w:tmpl w:val="78EEAFCC"/>
    <w:lvl w:ilvl="0" w:tplc="1908C236">
      <w:start w:val="1"/>
      <w:numFmt w:val="decimal"/>
      <w:pStyle w:val="References"/>
      <w:lvlText w:val="[%1]"/>
      <w:lvlJc w:val="left"/>
      <w:pPr>
        <w:ind w:left="30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35C99"/>
    <w:multiLevelType w:val="multilevel"/>
    <w:tmpl w:val="E12280DE"/>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F4144F"/>
    <w:multiLevelType w:val="hybridMultilevel"/>
    <w:tmpl w:val="B9DA6EBE"/>
    <w:lvl w:ilvl="0" w:tplc="11EA9724">
      <w:start w:val="5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6B75C2"/>
    <w:multiLevelType w:val="hybridMultilevel"/>
    <w:tmpl w:val="B366FAB4"/>
    <w:lvl w:ilvl="0" w:tplc="1F52D268">
      <w:start w:val="1"/>
      <w:numFmt w:val="decimal"/>
      <w:lvlRestart w:val="0"/>
      <w:pStyle w:val="Numbered"/>
      <w:lvlText w:val="%1."/>
      <w:lvlJc w:val="right"/>
      <w:pPr>
        <w:tabs>
          <w:tab w:val="num" w:pos="1134"/>
        </w:tabs>
        <w:ind w:left="1134" w:hanging="113"/>
      </w:pPr>
      <w:rPr>
        <w:rFonts w:ascii="Times New Roman" w:hAnsi="Times New Roman" w:hint="default"/>
        <w:b/>
        <w:i w:val="0"/>
        <w:sz w:val="24"/>
      </w:rPr>
    </w:lvl>
    <w:lvl w:ilvl="1" w:tplc="04090019">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8" w15:restartNumberingAfterBreak="0">
    <w:nsid w:val="6327222B"/>
    <w:multiLevelType w:val="multilevel"/>
    <w:tmpl w:val="EE5837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7B02AB2"/>
    <w:multiLevelType w:val="hybridMultilevel"/>
    <w:tmpl w:val="76FC376A"/>
    <w:lvl w:ilvl="0" w:tplc="9A066E1A">
      <w:start w:val="57"/>
      <w:numFmt w:val="bullet"/>
      <w:lvlText w:val="-"/>
      <w:lvlJc w:val="left"/>
      <w:pPr>
        <w:ind w:left="3080" w:hanging="360"/>
      </w:pPr>
      <w:rPr>
        <w:rFonts w:ascii="Times New Roman" w:eastAsiaTheme="minorHAnsi" w:hAnsi="Times New Roman" w:cs="Times New Roman" w:hint="default"/>
      </w:rPr>
    </w:lvl>
    <w:lvl w:ilvl="1" w:tplc="04090003" w:tentative="1">
      <w:start w:val="1"/>
      <w:numFmt w:val="bullet"/>
      <w:lvlText w:val="o"/>
      <w:lvlJc w:val="left"/>
      <w:pPr>
        <w:ind w:left="3800" w:hanging="360"/>
      </w:pPr>
      <w:rPr>
        <w:rFonts w:ascii="Courier New" w:hAnsi="Courier New" w:hint="default"/>
      </w:rPr>
    </w:lvl>
    <w:lvl w:ilvl="2" w:tplc="04090005" w:tentative="1">
      <w:start w:val="1"/>
      <w:numFmt w:val="bullet"/>
      <w:lvlText w:val=""/>
      <w:lvlJc w:val="left"/>
      <w:pPr>
        <w:ind w:left="4520" w:hanging="360"/>
      </w:pPr>
      <w:rPr>
        <w:rFonts w:ascii="Wingdings" w:hAnsi="Wingdings" w:hint="default"/>
      </w:rPr>
    </w:lvl>
    <w:lvl w:ilvl="3" w:tplc="04090001" w:tentative="1">
      <w:start w:val="1"/>
      <w:numFmt w:val="bullet"/>
      <w:lvlText w:val=""/>
      <w:lvlJc w:val="left"/>
      <w:pPr>
        <w:ind w:left="5240" w:hanging="360"/>
      </w:pPr>
      <w:rPr>
        <w:rFonts w:ascii="Symbol" w:hAnsi="Symbol" w:hint="default"/>
      </w:rPr>
    </w:lvl>
    <w:lvl w:ilvl="4" w:tplc="04090003" w:tentative="1">
      <w:start w:val="1"/>
      <w:numFmt w:val="bullet"/>
      <w:lvlText w:val="o"/>
      <w:lvlJc w:val="left"/>
      <w:pPr>
        <w:ind w:left="5960" w:hanging="360"/>
      </w:pPr>
      <w:rPr>
        <w:rFonts w:ascii="Courier New" w:hAnsi="Courier New" w:hint="default"/>
      </w:rPr>
    </w:lvl>
    <w:lvl w:ilvl="5" w:tplc="04090005" w:tentative="1">
      <w:start w:val="1"/>
      <w:numFmt w:val="bullet"/>
      <w:lvlText w:val=""/>
      <w:lvlJc w:val="left"/>
      <w:pPr>
        <w:ind w:left="6680" w:hanging="360"/>
      </w:pPr>
      <w:rPr>
        <w:rFonts w:ascii="Wingdings" w:hAnsi="Wingdings" w:hint="default"/>
      </w:rPr>
    </w:lvl>
    <w:lvl w:ilvl="6" w:tplc="04090001" w:tentative="1">
      <w:start w:val="1"/>
      <w:numFmt w:val="bullet"/>
      <w:lvlText w:val=""/>
      <w:lvlJc w:val="left"/>
      <w:pPr>
        <w:ind w:left="7400" w:hanging="360"/>
      </w:pPr>
      <w:rPr>
        <w:rFonts w:ascii="Symbol" w:hAnsi="Symbol" w:hint="default"/>
      </w:rPr>
    </w:lvl>
    <w:lvl w:ilvl="7" w:tplc="04090003" w:tentative="1">
      <w:start w:val="1"/>
      <w:numFmt w:val="bullet"/>
      <w:lvlText w:val="o"/>
      <w:lvlJc w:val="left"/>
      <w:pPr>
        <w:ind w:left="8120" w:hanging="360"/>
      </w:pPr>
      <w:rPr>
        <w:rFonts w:ascii="Courier New" w:hAnsi="Courier New" w:hint="default"/>
      </w:rPr>
    </w:lvl>
    <w:lvl w:ilvl="8" w:tplc="04090005" w:tentative="1">
      <w:start w:val="1"/>
      <w:numFmt w:val="bullet"/>
      <w:lvlText w:val=""/>
      <w:lvlJc w:val="left"/>
      <w:pPr>
        <w:ind w:left="8840" w:hanging="360"/>
      </w:pPr>
      <w:rPr>
        <w:rFonts w:ascii="Wingdings" w:hAnsi="Wingdings" w:hint="default"/>
      </w:rPr>
    </w:lvl>
  </w:abstractNum>
  <w:abstractNum w:abstractNumId="10" w15:restartNumberingAfterBreak="0">
    <w:nsid w:val="6BA4360F"/>
    <w:multiLevelType w:val="hybridMultilevel"/>
    <w:tmpl w:val="2370CCEE"/>
    <w:lvl w:ilvl="0" w:tplc="11EA9724">
      <w:start w:val="5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8A1E44"/>
    <w:multiLevelType w:val="hybridMultilevel"/>
    <w:tmpl w:val="AB2C2D1E"/>
    <w:lvl w:ilvl="0" w:tplc="11EA9724">
      <w:start w:val="57"/>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38A4ED2"/>
    <w:multiLevelType w:val="hybridMultilevel"/>
    <w:tmpl w:val="11CE6706"/>
    <w:lvl w:ilvl="0" w:tplc="11EA9724">
      <w:start w:val="5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0A784B"/>
    <w:multiLevelType w:val="hybridMultilevel"/>
    <w:tmpl w:val="041011B8"/>
    <w:lvl w:ilvl="0" w:tplc="C07E5AD4">
      <w:numFmt w:val="bullet"/>
      <w:lvlText w:val="-"/>
      <w:lvlJc w:val="left"/>
      <w:pPr>
        <w:ind w:left="705" w:hanging="360"/>
      </w:pPr>
      <w:rPr>
        <w:rFonts w:ascii="Times New Roman" w:eastAsiaTheme="minorHAnsi" w:hAnsi="Times New Roman" w:cs="Times New Roman"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4" w15:restartNumberingAfterBreak="0">
    <w:nsid w:val="75D12C21"/>
    <w:multiLevelType w:val="multilevel"/>
    <w:tmpl w:val="EE58375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A3A5629"/>
    <w:multiLevelType w:val="hybridMultilevel"/>
    <w:tmpl w:val="21D8A482"/>
    <w:lvl w:ilvl="0" w:tplc="7E2CBC16">
      <w:start w:val="1"/>
      <w:numFmt w:val="bullet"/>
      <w:pStyle w:val="Bullets"/>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5"/>
  </w:num>
  <w:num w:numId="3">
    <w:abstractNumId w:val="4"/>
  </w:num>
  <w:num w:numId="4">
    <w:abstractNumId w:val="7"/>
  </w:num>
  <w:num w:numId="5">
    <w:abstractNumId w:val="8"/>
  </w:num>
  <w:num w:numId="6">
    <w:abstractNumId w:val="3"/>
  </w:num>
  <w:num w:numId="7">
    <w:abstractNumId w:val="14"/>
  </w:num>
  <w:num w:numId="8">
    <w:abstractNumId w:val="9"/>
  </w:num>
  <w:num w:numId="9">
    <w:abstractNumId w:val="2"/>
  </w:num>
  <w:num w:numId="10">
    <w:abstractNumId w:val="11"/>
  </w:num>
  <w:num w:numId="11">
    <w:abstractNumId w:val="6"/>
  </w:num>
  <w:num w:numId="12">
    <w:abstractNumId w:val="13"/>
  </w:num>
  <w:num w:numId="13">
    <w:abstractNumId w:val="10"/>
  </w:num>
  <w:num w:numId="14">
    <w:abstractNumId w:val="0"/>
  </w:num>
  <w:num w:numId="15">
    <w:abstractNumId w:val="12"/>
  </w:num>
  <w:num w:numId="1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SwNDQyNbK0NLC0NLRU0lEKTi0uzszPAykwrgUAia9DVywAAAA="/>
    <w:docVar w:name="EN.InstantFormat" w:val="&lt;ENInstantFormat&gt;&lt;Enabled&gt;1&lt;/Enabled&gt;&lt;ScanUnformatted&gt;1&lt;/ScanUnformatted&gt;&lt;ScanChanges&gt;1&lt;/ScanChanges&gt;&lt;Suspended&gt;0&lt;/Suspended&gt;&lt;/ENInstantFormat&gt;"/>
    <w:docVar w:name="EN.Layout" w:val="&lt;ENLayout&gt;&lt;Style&gt;IEE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02dva9072e097ez0eov2pwr9fvdzpzav5te&quot;&gt;1550-IJIRSS-637-ACC-QC&lt;record-ids&gt;&lt;item&gt;1&lt;/item&gt;&lt;item&gt;2&lt;/item&gt;&lt;item&gt;3&lt;/item&gt;&lt;item&gt;4&lt;/item&gt;&lt;item&gt;6&lt;/item&gt;&lt;item&gt;7&lt;/item&gt;&lt;item&gt;8&lt;/item&gt;&lt;item&gt;9&lt;/item&gt;&lt;item&gt;10&lt;/item&gt;&lt;item&gt;11&lt;/item&gt;&lt;item&gt;12&lt;/item&gt;&lt;item&gt;13&lt;/item&gt;&lt;item&gt;14&lt;/item&gt;&lt;item&gt;15&lt;/item&gt;&lt;item&gt;16&lt;/item&gt;&lt;item&gt;17&lt;/item&gt;&lt;item&gt;18&lt;/item&gt;&lt;item&gt;19&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record-ids&gt;&lt;/item&gt;&lt;/Libraries&gt;"/>
  </w:docVars>
  <w:rsids>
    <w:rsidRoot w:val="00E76F19"/>
    <w:rsid w:val="000002DF"/>
    <w:rsid w:val="00000332"/>
    <w:rsid w:val="000007C5"/>
    <w:rsid w:val="00001DCA"/>
    <w:rsid w:val="00004D47"/>
    <w:rsid w:val="00004E6E"/>
    <w:rsid w:val="000053F2"/>
    <w:rsid w:val="00005556"/>
    <w:rsid w:val="000105B2"/>
    <w:rsid w:val="00010991"/>
    <w:rsid w:val="00013E13"/>
    <w:rsid w:val="00017AEA"/>
    <w:rsid w:val="00017F73"/>
    <w:rsid w:val="00021B8A"/>
    <w:rsid w:val="00022334"/>
    <w:rsid w:val="00023D7E"/>
    <w:rsid w:val="00024508"/>
    <w:rsid w:val="00025E98"/>
    <w:rsid w:val="000270A9"/>
    <w:rsid w:val="00030134"/>
    <w:rsid w:val="000306E2"/>
    <w:rsid w:val="00031C6B"/>
    <w:rsid w:val="000322E0"/>
    <w:rsid w:val="00034426"/>
    <w:rsid w:val="00043658"/>
    <w:rsid w:val="0004451C"/>
    <w:rsid w:val="00045FDF"/>
    <w:rsid w:val="00046E96"/>
    <w:rsid w:val="0005077F"/>
    <w:rsid w:val="000541D3"/>
    <w:rsid w:val="00056CBA"/>
    <w:rsid w:val="00057AC4"/>
    <w:rsid w:val="0006026D"/>
    <w:rsid w:val="0006099E"/>
    <w:rsid w:val="00061DF5"/>
    <w:rsid w:val="00062700"/>
    <w:rsid w:val="00065089"/>
    <w:rsid w:val="00065751"/>
    <w:rsid w:val="00067FAD"/>
    <w:rsid w:val="000702BF"/>
    <w:rsid w:val="00072DB2"/>
    <w:rsid w:val="00072EB9"/>
    <w:rsid w:val="00073510"/>
    <w:rsid w:val="0007495D"/>
    <w:rsid w:val="00075917"/>
    <w:rsid w:val="000769D3"/>
    <w:rsid w:val="00077F7D"/>
    <w:rsid w:val="000830EF"/>
    <w:rsid w:val="000832A3"/>
    <w:rsid w:val="00083A48"/>
    <w:rsid w:val="00084C7C"/>
    <w:rsid w:val="00084D81"/>
    <w:rsid w:val="000854E4"/>
    <w:rsid w:val="000869CD"/>
    <w:rsid w:val="00092323"/>
    <w:rsid w:val="0009248B"/>
    <w:rsid w:val="00092866"/>
    <w:rsid w:val="000932BE"/>
    <w:rsid w:val="00094A59"/>
    <w:rsid w:val="00095AFF"/>
    <w:rsid w:val="00096CCE"/>
    <w:rsid w:val="0009791D"/>
    <w:rsid w:val="00097B4B"/>
    <w:rsid w:val="000A053A"/>
    <w:rsid w:val="000A0B1E"/>
    <w:rsid w:val="000A0C12"/>
    <w:rsid w:val="000A17F8"/>
    <w:rsid w:val="000A60B8"/>
    <w:rsid w:val="000B19ED"/>
    <w:rsid w:val="000B22DA"/>
    <w:rsid w:val="000B470E"/>
    <w:rsid w:val="000B5095"/>
    <w:rsid w:val="000B5A88"/>
    <w:rsid w:val="000B6556"/>
    <w:rsid w:val="000B6660"/>
    <w:rsid w:val="000B6A1D"/>
    <w:rsid w:val="000B6A61"/>
    <w:rsid w:val="000B6C02"/>
    <w:rsid w:val="000C0D72"/>
    <w:rsid w:val="000C1257"/>
    <w:rsid w:val="000C162B"/>
    <w:rsid w:val="000C1E10"/>
    <w:rsid w:val="000C37A3"/>
    <w:rsid w:val="000C3AA8"/>
    <w:rsid w:val="000C4B08"/>
    <w:rsid w:val="000C786C"/>
    <w:rsid w:val="000C78F5"/>
    <w:rsid w:val="000D0263"/>
    <w:rsid w:val="000D13D3"/>
    <w:rsid w:val="000D1FBA"/>
    <w:rsid w:val="000D2242"/>
    <w:rsid w:val="000E1193"/>
    <w:rsid w:val="000E2915"/>
    <w:rsid w:val="000E34ED"/>
    <w:rsid w:val="000E43EE"/>
    <w:rsid w:val="000E5B20"/>
    <w:rsid w:val="000E681D"/>
    <w:rsid w:val="000F113E"/>
    <w:rsid w:val="000F2A5C"/>
    <w:rsid w:val="000F42EE"/>
    <w:rsid w:val="000F6916"/>
    <w:rsid w:val="000F6B5D"/>
    <w:rsid w:val="000F7464"/>
    <w:rsid w:val="000F74BF"/>
    <w:rsid w:val="001002F6"/>
    <w:rsid w:val="001008F7"/>
    <w:rsid w:val="00100EF5"/>
    <w:rsid w:val="00100FD0"/>
    <w:rsid w:val="001030AD"/>
    <w:rsid w:val="00104CCA"/>
    <w:rsid w:val="0010641C"/>
    <w:rsid w:val="00106BE4"/>
    <w:rsid w:val="00107243"/>
    <w:rsid w:val="0010746E"/>
    <w:rsid w:val="0010796F"/>
    <w:rsid w:val="00107A32"/>
    <w:rsid w:val="001119A2"/>
    <w:rsid w:val="001120FA"/>
    <w:rsid w:val="001122D1"/>
    <w:rsid w:val="001130C2"/>
    <w:rsid w:val="0011376E"/>
    <w:rsid w:val="00113F05"/>
    <w:rsid w:val="00114985"/>
    <w:rsid w:val="001155E9"/>
    <w:rsid w:val="00116320"/>
    <w:rsid w:val="001166EC"/>
    <w:rsid w:val="00117230"/>
    <w:rsid w:val="00121F89"/>
    <w:rsid w:val="00125969"/>
    <w:rsid w:val="00125CDF"/>
    <w:rsid w:val="00126205"/>
    <w:rsid w:val="00130567"/>
    <w:rsid w:val="00131BC2"/>
    <w:rsid w:val="00132E6E"/>
    <w:rsid w:val="00133293"/>
    <w:rsid w:val="001337AF"/>
    <w:rsid w:val="001340F4"/>
    <w:rsid w:val="0013575D"/>
    <w:rsid w:val="00137A9E"/>
    <w:rsid w:val="00137B02"/>
    <w:rsid w:val="00141310"/>
    <w:rsid w:val="00141790"/>
    <w:rsid w:val="00144E77"/>
    <w:rsid w:val="00146712"/>
    <w:rsid w:val="00152637"/>
    <w:rsid w:val="00154C4E"/>
    <w:rsid w:val="00155CD5"/>
    <w:rsid w:val="00157FF1"/>
    <w:rsid w:val="00161A2E"/>
    <w:rsid w:val="00163056"/>
    <w:rsid w:val="0016412A"/>
    <w:rsid w:val="0016675A"/>
    <w:rsid w:val="00166854"/>
    <w:rsid w:val="00170559"/>
    <w:rsid w:val="00176990"/>
    <w:rsid w:val="001770FE"/>
    <w:rsid w:val="001814D5"/>
    <w:rsid w:val="00182AEF"/>
    <w:rsid w:val="00183655"/>
    <w:rsid w:val="001852B1"/>
    <w:rsid w:val="0018689F"/>
    <w:rsid w:val="00186ED6"/>
    <w:rsid w:val="0018724F"/>
    <w:rsid w:val="001875AF"/>
    <w:rsid w:val="00194CE1"/>
    <w:rsid w:val="001950CC"/>
    <w:rsid w:val="00196F8E"/>
    <w:rsid w:val="00197FD6"/>
    <w:rsid w:val="001A082A"/>
    <w:rsid w:val="001A1436"/>
    <w:rsid w:val="001A3AD7"/>
    <w:rsid w:val="001A3E56"/>
    <w:rsid w:val="001B0F2F"/>
    <w:rsid w:val="001B22B5"/>
    <w:rsid w:val="001B4139"/>
    <w:rsid w:val="001B438C"/>
    <w:rsid w:val="001B461A"/>
    <w:rsid w:val="001B561A"/>
    <w:rsid w:val="001B680B"/>
    <w:rsid w:val="001B7886"/>
    <w:rsid w:val="001B7E88"/>
    <w:rsid w:val="001C4468"/>
    <w:rsid w:val="001C5ABF"/>
    <w:rsid w:val="001C6BEF"/>
    <w:rsid w:val="001D043F"/>
    <w:rsid w:val="001D2660"/>
    <w:rsid w:val="001D2771"/>
    <w:rsid w:val="001D4561"/>
    <w:rsid w:val="001D4F79"/>
    <w:rsid w:val="001D7060"/>
    <w:rsid w:val="001E099F"/>
    <w:rsid w:val="001E184C"/>
    <w:rsid w:val="001E21D1"/>
    <w:rsid w:val="001E3875"/>
    <w:rsid w:val="001E67A7"/>
    <w:rsid w:val="001E7704"/>
    <w:rsid w:val="001F391E"/>
    <w:rsid w:val="001F78A9"/>
    <w:rsid w:val="00203BD3"/>
    <w:rsid w:val="00204D09"/>
    <w:rsid w:val="002077CA"/>
    <w:rsid w:val="00210B0E"/>
    <w:rsid w:val="00210B45"/>
    <w:rsid w:val="00211B42"/>
    <w:rsid w:val="002122C4"/>
    <w:rsid w:val="00212A03"/>
    <w:rsid w:val="00212EB4"/>
    <w:rsid w:val="0021360D"/>
    <w:rsid w:val="00214B58"/>
    <w:rsid w:val="00216137"/>
    <w:rsid w:val="0021653F"/>
    <w:rsid w:val="002177B3"/>
    <w:rsid w:val="00217B04"/>
    <w:rsid w:val="0022047F"/>
    <w:rsid w:val="002214A8"/>
    <w:rsid w:val="00222067"/>
    <w:rsid w:val="00231C66"/>
    <w:rsid w:val="00235261"/>
    <w:rsid w:val="002354FC"/>
    <w:rsid w:val="002366D2"/>
    <w:rsid w:val="00236D9A"/>
    <w:rsid w:val="00236E02"/>
    <w:rsid w:val="00236F0A"/>
    <w:rsid w:val="002401E2"/>
    <w:rsid w:val="002402F2"/>
    <w:rsid w:val="00240B62"/>
    <w:rsid w:val="00243E46"/>
    <w:rsid w:val="00246D8C"/>
    <w:rsid w:val="00250058"/>
    <w:rsid w:val="0025055E"/>
    <w:rsid w:val="00254D07"/>
    <w:rsid w:val="00255FF7"/>
    <w:rsid w:val="0025745E"/>
    <w:rsid w:val="00257BAA"/>
    <w:rsid w:val="00265AFA"/>
    <w:rsid w:val="00266627"/>
    <w:rsid w:val="00266E9F"/>
    <w:rsid w:val="00270667"/>
    <w:rsid w:val="0027089E"/>
    <w:rsid w:val="00270CD8"/>
    <w:rsid w:val="00270CDD"/>
    <w:rsid w:val="00274396"/>
    <w:rsid w:val="00274483"/>
    <w:rsid w:val="0027507A"/>
    <w:rsid w:val="00275DFC"/>
    <w:rsid w:val="0027642C"/>
    <w:rsid w:val="00277D08"/>
    <w:rsid w:val="00277D93"/>
    <w:rsid w:val="00282E90"/>
    <w:rsid w:val="00283084"/>
    <w:rsid w:val="002864AC"/>
    <w:rsid w:val="00286B9C"/>
    <w:rsid w:val="00286D57"/>
    <w:rsid w:val="00286FCF"/>
    <w:rsid w:val="0028714B"/>
    <w:rsid w:val="00293371"/>
    <w:rsid w:val="00295BA3"/>
    <w:rsid w:val="002960B1"/>
    <w:rsid w:val="002A0D14"/>
    <w:rsid w:val="002A1F67"/>
    <w:rsid w:val="002A2C58"/>
    <w:rsid w:val="002A3F65"/>
    <w:rsid w:val="002A4314"/>
    <w:rsid w:val="002A4903"/>
    <w:rsid w:val="002B1196"/>
    <w:rsid w:val="002B35B2"/>
    <w:rsid w:val="002B5943"/>
    <w:rsid w:val="002B60F5"/>
    <w:rsid w:val="002B6883"/>
    <w:rsid w:val="002B7C49"/>
    <w:rsid w:val="002C09C8"/>
    <w:rsid w:val="002C1E69"/>
    <w:rsid w:val="002C1F59"/>
    <w:rsid w:val="002C2C71"/>
    <w:rsid w:val="002C3234"/>
    <w:rsid w:val="002C4454"/>
    <w:rsid w:val="002C47CF"/>
    <w:rsid w:val="002C5817"/>
    <w:rsid w:val="002D15D1"/>
    <w:rsid w:val="002D1D65"/>
    <w:rsid w:val="002D1F37"/>
    <w:rsid w:val="002D2105"/>
    <w:rsid w:val="002D3553"/>
    <w:rsid w:val="002D38D2"/>
    <w:rsid w:val="002D482B"/>
    <w:rsid w:val="002D59A6"/>
    <w:rsid w:val="002D6936"/>
    <w:rsid w:val="002D6D26"/>
    <w:rsid w:val="002D6F02"/>
    <w:rsid w:val="002E099E"/>
    <w:rsid w:val="002E0D84"/>
    <w:rsid w:val="002E1B0F"/>
    <w:rsid w:val="002E21B0"/>
    <w:rsid w:val="002E3661"/>
    <w:rsid w:val="002E3A5C"/>
    <w:rsid w:val="002E424E"/>
    <w:rsid w:val="002E498B"/>
    <w:rsid w:val="002F294E"/>
    <w:rsid w:val="002F2EAA"/>
    <w:rsid w:val="002F531F"/>
    <w:rsid w:val="002F592D"/>
    <w:rsid w:val="00301048"/>
    <w:rsid w:val="003025A9"/>
    <w:rsid w:val="003028B3"/>
    <w:rsid w:val="003028F6"/>
    <w:rsid w:val="003065C1"/>
    <w:rsid w:val="00306B91"/>
    <w:rsid w:val="00307DDB"/>
    <w:rsid w:val="00307F54"/>
    <w:rsid w:val="00311302"/>
    <w:rsid w:val="00311359"/>
    <w:rsid w:val="00312192"/>
    <w:rsid w:val="003130A8"/>
    <w:rsid w:val="0031313F"/>
    <w:rsid w:val="00314CC3"/>
    <w:rsid w:val="00314D72"/>
    <w:rsid w:val="0031608B"/>
    <w:rsid w:val="003164DA"/>
    <w:rsid w:val="00320637"/>
    <w:rsid w:val="00323A06"/>
    <w:rsid w:val="0032459B"/>
    <w:rsid w:val="00326C5A"/>
    <w:rsid w:val="00326D44"/>
    <w:rsid w:val="00327647"/>
    <w:rsid w:val="00330616"/>
    <w:rsid w:val="00330C2E"/>
    <w:rsid w:val="00333846"/>
    <w:rsid w:val="00333BBD"/>
    <w:rsid w:val="00334F7D"/>
    <w:rsid w:val="00336BD3"/>
    <w:rsid w:val="00337CC3"/>
    <w:rsid w:val="003405AE"/>
    <w:rsid w:val="003410C6"/>
    <w:rsid w:val="0034329D"/>
    <w:rsid w:val="00345DB0"/>
    <w:rsid w:val="00347631"/>
    <w:rsid w:val="00347EF8"/>
    <w:rsid w:val="0035027E"/>
    <w:rsid w:val="00350F00"/>
    <w:rsid w:val="00351F3C"/>
    <w:rsid w:val="00352FED"/>
    <w:rsid w:val="00353BAC"/>
    <w:rsid w:val="00354DC3"/>
    <w:rsid w:val="003559BA"/>
    <w:rsid w:val="0035623E"/>
    <w:rsid w:val="003574B3"/>
    <w:rsid w:val="00362758"/>
    <w:rsid w:val="003637BC"/>
    <w:rsid w:val="0036459D"/>
    <w:rsid w:val="00367B88"/>
    <w:rsid w:val="00370E2A"/>
    <w:rsid w:val="00372876"/>
    <w:rsid w:val="0037294F"/>
    <w:rsid w:val="0037422F"/>
    <w:rsid w:val="00374372"/>
    <w:rsid w:val="0037471B"/>
    <w:rsid w:val="00374EB9"/>
    <w:rsid w:val="0037552D"/>
    <w:rsid w:val="00377DCB"/>
    <w:rsid w:val="00380F05"/>
    <w:rsid w:val="00381952"/>
    <w:rsid w:val="0038357D"/>
    <w:rsid w:val="003836CE"/>
    <w:rsid w:val="00387EB0"/>
    <w:rsid w:val="00387F03"/>
    <w:rsid w:val="00392585"/>
    <w:rsid w:val="003927F5"/>
    <w:rsid w:val="00394565"/>
    <w:rsid w:val="00397CD1"/>
    <w:rsid w:val="003A099B"/>
    <w:rsid w:val="003A4055"/>
    <w:rsid w:val="003A5D17"/>
    <w:rsid w:val="003A5DF3"/>
    <w:rsid w:val="003A6411"/>
    <w:rsid w:val="003B0A80"/>
    <w:rsid w:val="003B0BBE"/>
    <w:rsid w:val="003B1840"/>
    <w:rsid w:val="003B20B7"/>
    <w:rsid w:val="003B3C18"/>
    <w:rsid w:val="003B4CC4"/>
    <w:rsid w:val="003B572A"/>
    <w:rsid w:val="003C0659"/>
    <w:rsid w:val="003C09F2"/>
    <w:rsid w:val="003C1CEA"/>
    <w:rsid w:val="003C334E"/>
    <w:rsid w:val="003C3550"/>
    <w:rsid w:val="003C768D"/>
    <w:rsid w:val="003D235C"/>
    <w:rsid w:val="003D452E"/>
    <w:rsid w:val="003D723F"/>
    <w:rsid w:val="003D746C"/>
    <w:rsid w:val="003D7CC9"/>
    <w:rsid w:val="003E0920"/>
    <w:rsid w:val="003E1DDF"/>
    <w:rsid w:val="003E2AC8"/>
    <w:rsid w:val="003F1DAA"/>
    <w:rsid w:val="003F52A6"/>
    <w:rsid w:val="003F65CF"/>
    <w:rsid w:val="004005B2"/>
    <w:rsid w:val="0040714C"/>
    <w:rsid w:val="004072F1"/>
    <w:rsid w:val="0041014C"/>
    <w:rsid w:val="00414B10"/>
    <w:rsid w:val="00415598"/>
    <w:rsid w:val="0042144A"/>
    <w:rsid w:val="004223BB"/>
    <w:rsid w:val="004256AB"/>
    <w:rsid w:val="00425A65"/>
    <w:rsid w:val="00426609"/>
    <w:rsid w:val="00426A79"/>
    <w:rsid w:val="00427314"/>
    <w:rsid w:val="004304B6"/>
    <w:rsid w:val="00430ADC"/>
    <w:rsid w:val="00433C19"/>
    <w:rsid w:val="00434935"/>
    <w:rsid w:val="0044453D"/>
    <w:rsid w:val="00450656"/>
    <w:rsid w:val="00450E33"/>
    <w:rsid w:val="004518F2"/>
    <w:rsid w:val="00451BB9"/>
    <w:rsid w:val="00451DE1"/>
    <w:rsid w:val="00451FBE"/>
    <w:rsid w:val="004525E6"/>
    <w:rsid w:val="00453D11"/>
    <w:rsid w:val="00456B84"/>
    <w:rsid w:val="00457A28"/>
    <w:rsid w:val="00457F22"/>
    <w:rsid w:val="00457F39"/>
    <w:rsid w:val="00460742"/>
    <w:rsid w:val="004623FE"/>
    <w:rsid w:val="004628E7"/>
    <w:rsid w:val="004679AA"/>
    <w:rsid w:val="00470212"/>
    <w:rsid w:val="0047059F"/>
    <w:rsid w:val="004709FF"/>
    <w:rsid w:val="00471379"/>
    <w:rsid w:val="0047177F"/>
    <w:rsid w:val="0047666E"/>
    <w:rsid w:val="004775AF"/>
    <w:rsid w:val="00480A74"/>
    <w:rsid w:val="00482EF9"/>
    <w:rsid w:val="00484117"/>
    <w:rsid w:val="004853CE"/>
    <w:rsid w:val="00487672"/>
    <w:rsid w:val="00491FE5"/>
    <w:rsid w:val="00492F43"/>
    <w:rsid w:val="0049357B"/>
    <w:rsid w:val="0049398A"/>
    <w:rsid w:val="00493D3E"/>
    <w:rsid w:val="00494BAE"/>
    <w:rsid w:val="00494F7C"/>
    <w:rsid w:val="00494FEA"/>
    <w:rsid w:val="004959AD"/>
    <w:rsid w:val="004965E5"/>
    <w:rsid w:val="004A3290"/>
    <w:rsid w:val="004A393F"/>
    <w:rsid w:val="004A4C77"/>
    <w:rsid w:val="004A5161"/>
    <w:rsid w:val="004B1978"/>
    <w:rsid w:val="004B273B"/>
    <w:rsid w:val="004B3437"/>
    <w:rsid w:val="004B3C71"/>
    <w:rsid w:val="004B5392"/>
    <w:rsid w:val="004B5F41"/>
    <w:rsid w:val="004B7AA3"/>
    <w:rsid w:val="004B7B66"/>
    <w:rsid w:val="004C0A65"/>
    <w:rsid w:val="004C0B1E"/>
    <w:rsid w:val="004C2460"/>
    <w:rsid w:val="004C255E"/>
    <w:rsid w:val="004C5D21"/>
    <w:rsid w:val="004C5D9D"/>
    <w:rsid w:val="004C5EA8"/>
    <w:rsid w:val="004C7759"/>
    <w:rsid w:val="004D012F"/>
    <w:rsid w:val="004D699B"/>
    <w:rsid w:val="004D6DBA"/>
    <w:rsid w:val="004E3588"/>
    <w:rsid w:val="004E462B"/>
    <w:rsid w:val="004E4762"/>
    <w:rsid w:val="004E66E4"/>
    <w:rsid w:val="004E6961"/>
    <w:rsid w:val="004F2B7D"/>
    <w:rsid w:val="004F35CC"/>
    <w:rsid w:val="004F36D7"/>
    <w:rsid w:val="004F4F20"/>
    <w:rsid w:val="004F5272"/>
    <w:rsid w:val="004F6587"/>
    <w:rsid w:val="004F7B8F"/>
    <w:rsid w:val="00501395"/>
    <w:rsid w:val="0050222E"/>
    <w:rsid w:val="00504597"/>
    <w:rsid w:val="00505234"/>
    <w:rsid w:val="005054DB"/>
    <w:rsid w:val="005139A8"/>
    <w:rsid w:val="005152D6"/>
    <w:rsid w:val="005161E8"/>
    <w:rsid w:val="005161F3"/>
    <w:rsid w:val="00520199"/>
    <w:rsid w:val="005205B0"/>
    <w:rsid w:val="00520F45"/>
    <w:rsid w:val="00522794"/>
    <w:rsid w:val="005243D9"/>
    <w:rsid w:val="005260BF"/>
    <w:rsid w:val="005270AE"/>
    <w:rsid w:val="00527689"/>
    <w:rsid w:val="00531628"/>
    <w:rsid w:val="00531845"/>
    <w:rsid w:val="005320F1"/>
    <w:rsid w:val="00532375"/>
    <w:rsid w:val="0053260A"/>
    <w:rsid w:val="00534BDE"/>
    <w:rsid w:val="005357F5"/>
    <w:rsid w:val="00536245"/>
    <w:rsid w:val="00536EF3"/>
    <w:rsid w:val="00541E79"/>
    <w:rsid w:val="00544100"/>
    <w:rsid w:val="00545CD2"/>
    <w:rsid w:val="00546847"/>
    <w:rsid w:val="005473E2"/>
    <w:rsid w:val="00551CB6"/>
    <w:rsid w:val="0055304A"/>
    <w:rsid w:val="0055350A"/>
    <w:rsid w:val="00555A82"/>
    <w:rsid w:val="00555CA6"/>
    <w:rsid w:val="0055612E"/>
    <w:rsid w:val="00557C4A"/>
    <w:rsid w:val="005622D4"/>
    <w:rsid w:val="005624A4"/>
    <w:rsid w:val="00563636"/>
    <w:rsid w:val="005656BF"/>
    <w:rsid w:val="00566A73"/>
    <w:rsid w:val="0056705A"/>
    <w:rsid w:val="00567151"/>
    <w:rsid w:val="00570136"/>
    <w:rsid w:val="00572CE6"/>
    <w:rsid w:val="00574530"/>
    <w:rsid w:val="00577F96"/>
    <w:rsid w:val="00580B37"/>
    <w:rsid w:val="00582EE9"/>
    <w:rsid w:val="005830A2"/>
    <w:rsid w:val="005830FF"/>
    <w:rsid w:val="00583B6A"/>
    <w:rsid w:val="0058664F"/>
    <w:rsid w:val="00586F62"/>
    <w:rsid w:val="00587169"/>
    <w:rsid w:val="00593AE7"/>
    <w:rsid w:val="0059485F"/>
    <w:rsid w:val="00594CE3"/>
    <w:rsid w:val="00596479"/>
    <w:rsid w:val="005973BC"/>
    <w:rsid w:val="00597474"/>
    <w:rsid w:val="005A267C"/>
    <w:rsid w:val="005A46E9"/>
    <w:rsid w:val="005A535B"/>
    <w:rsid w:val="005A55B4"/>
    <w:rsid w:val="005A6BD0"/>
    <w:rsid w:val="005A799C"/>
    <w:rsid w:val="005B1A69"/>
    <w:rsid w:val="005B2444"/>
    <w:rsid w:val="005B2E2D"/>
    <w:rsid w:val="005B3138"/>
    <w:rsid w:val="005B3884"/>
    <w:rsid w:val="005B395F"/>
    <w:rsid w:val="005B40BB"/>
    <w:rsid w:val="005B49A6"/>
    <w:rsid w:val="005B660C"/>
    <w:rsid w:val="005B7B36"/>
    <w:rsid w:val="005C0437"/>
    <w:rsid w:val="005C0684"/>
    <w:rsid w:val="005C159F"/>
    <w:rsid w:val="005C30E5"/>
    <w:rsid w:val="005C3A34"/>
    <w:rsid w:val="005C5377"/>
    <w:rsid w:val="005C71D1"/>
    <w:rsid w:val="005C763D"/>
    <w:rsid w:val="005D047F"/>
    <w:rsid w:val="005D3302"/>
    <w:rsid w:val="005D3539"/>
    <w:rsid w:val="005D3FF8"/>
    <w:rsid w:val="005D4378"/>
    <w:rsid w:val="005E275E"/>
    <w:rsid w:val="005E47AA"/>
    <w:rsid w:val="005E6E2D"/>
    <w:rsid w:val="005E7588"/>
    <w:rsid w:val="005F323B"/>
    <w:rsid w:val="005F419F"/>
    <w:rsid w:val="005F6778"/>
    <w:rsid w:val="006002F7"/>
    <w:rsid w:val="00600A5A"/>
    <w:rsid w:val="006015C5"/>
    <w:rsid w:val="006017C4"/>
    <w:rsid w:val="00603C04"/>
    <w:rsid w:val="00603D5D"/>
    <w:rsid w:val="00604BE1"/>
    <w:rsid w:val="00605917"/>
    <w:rsid w:val="006063B1"/>
    <w:rsid w:val="00610D90"/>
    <w:rsid w:val="00612245"/>
    <w:rsid w:val="006125A5"/>
    <w:rsid w:val="00613612"/>
    <w:rsid w:val="00613B39"/>
    <w:rsid w:val="00615F3B"/>
    <w:rsid w:val="00616328"/>
    <w:rsid w:val="006178C3"/>
    <w:rsid w:val="00621085"/>
    <w:rsid w:val="0062116E"/>
    <w:rsid w:val="006255EC"/>
    <w:rsid w:val="0062582A"/>
    <w:rsid w:val="006324F8"/>
    <w:rsid w:val="00634184"/>
    <w:rsid w:val="00634D93"/>
    <w:rsid w:val="00636678"/>
    <w:rsid w:val="00640E49"/>
    <w:rsid w:val="00641F9A"/>
    <w:rsid w:val="006467F6"/>
    <w:rsid w:val="0064744C"/>
    <w:rsid w:val="00650B39"/>
    <w:rsid w:val="00650C90"/>
    <w:rsid w:val="00650F5C"/>
    <w:rsid w:val="00651C70"/>
    <w:rsid w:val="00651D5C"/>
    <w:rsid w:val="0065455E"/>
    <w:rsid w:val="006546BB"/>
    <w:rsid w:val="00655516"/>
    <w:rsid w:val="00656206"/>
    <w:rsid w:val="00656240"/>
    <w:rsid w:val="0065717D"/>
    <w:rsid w:val="006601DA"/>
    <w:rsid w:val="00661F06"/>
    <w:rsid w:val="00663511"/>
    <w:rsid w:val="006640C8"/>
    <w:rsid w:val="006667EB"/>
    <w:rsid w:val="00666B36"/>
    <w:rsid w:val="00667098"/>
    <w:rsid w:val="00671305"/>
    <w:rsid w:val="006723AD"/>
    <w:rsid w:val="00673272"/>
    <w:rsid w:val="0067340F"/>
    <w:rsid w:val="00673995"/>
    <w:rsid w:val="00673F55"/>
    <w:rsid w:val="00677117"/>
    <w:rsid w:val="006773BC"/>
    <w:rsid w:val="006819EA"/>
    <w:rsid w:val="00682AE5"/>
    <w:rsid w:val="00684BFE"/>
    <w:rsid w:val="006876CD"/>
    <w:rsid w:val="00687F1C"/>
    <w:rsid w:val="00690D77"/>
    <w:rsid w:val="006926D4"/>
    <w:rsid w:val="006929E9"/>
    <w:rsid w:val="0069479B"/>
    <w:rsid w:val="00695B0C"/>
    <w:rsid w:val="006974B4"/>
    <w:rsid w:val="006A05AD"/>
    <w:rsid w:val="006A0606"/>
    <w:rsid w:val="006A0688"/>
    <w:rsid w:val="006A1F77"/>
    <w:rsid w:val="006A2703"/>
    <w:rsid w:val="006A2837"/>
    <w:rsid w:val="006A5EF2"/>
    <w:rsid w:val="006A60DF"/>
    <w:rsid w:val="006A70C5"/>
    <w:rsid w:val="006B0869"/>
    <w:rsid w:val="006B4CDB"/>
    <w:rsid w:val="006B7C2E"/>
    <w:rsid w:val="006C07C1"/>
    <w:rsid w:val="006C0CA2"/>
    <w:rsid w:val="006C2C1B"/>
    <w:rsid w:val="006C308F"/>
    <w:rsid w:val="006C30E8"/>
    <w:rsid w:val="006C3FFD"/>
    <w:rsid w:val="006C58D4"/>
    <w:rsid w:val="006C5ABD"/>
    <w:rsid w:val="006C62BA"/>
    <w:rsid w:val="006C6751"/>
    <w:rsid w:val="006D256B"/>
    <w:rsid w:val="006D35B3"/>
    <w:rsid w:val="006D4147"/>
    <w:rsid w:val="006D4820"/>
    <w:rsid w:val="006D623A"/>
    <w:rsid w:val="006E0132"/>
    <w:rsid w:val="006E14AF"/>
    <w:rsid w:val="006E267A"/>
    <w:rsid w:val="006E4040"/>
    <w:rsid w:val="006E5B15"/>
    <w:rsid w:val="006E647F"/>
    <w:rsid w:val="006E671D"/>
    <w:rsid w:val="006E6F7B"/>
    <w:rsid w:val="006F2CA3"/>
    <w:rsid w:val="006F3720"/>
    <w:rsid w:val="006F3753"/>
    <w:rsid w:val="006F6851"/>
    <w:rsid w:val="007006AA"/>
    <w:rsid w:val="00701427"/>
    <w:rsid w:val="007014AB"/>
    <w:rsid w:val="00701933"/>
    <w:rsid w:val="00701F66"/>
    <w:rsid w:val="0070577A"/>
    <w:rsid w:val="0071274A"/>
    <w:rsid w:val="007150CD"/>
    <w:rsid w:val="00716C54"/>
    <w:rsid w:val="0071789C"/>
    <w:rsid w:val="007202CB"/>
    <w:rsid w:val="00720444"/>
    <w:rsid w:val="00720EE9"/>
    <w:rsid w:val="0072161B"/>
    <w:rsid w:val="00721C41"/>
    <w:rsid w:val="00724E8A"/>
    <w:rsid w:val="00725BC0"/>
    <w:rsid w:val="007272A4"/>
    <w:rsid w:val="00730A90"/>
    <w:rsid w:val="00730E16"/>
    <w:rsid w:val="00732AD2"/>
    <w:rsid w:val="00733161"/>
    <w:rsid w:val="00733E99"/>
    <w:rsid w:val="007358A0"/>
    <w:rsid w:val="00736B8D"/>
    <w:rsid w:val="00737A9E"/>
    <w:rsid w:val="007402B4"/>
    <w:rsid w:val="007416FF"/>
    <w:rsid w:val="007503D6"/>
    <w:rsid w:val="00750AF7"/>
    <w:rsid w:val="0075199F"/>
    <w:rsid w:val="00751C18"/>
    <w:rsid w:val="00752756"/>
    <w:rsid w:val="00752B41"/>
    <w:rsid w:val="00753E06"/>
    <w:rsid w:val="00755178"/>
    <w:rsid w:val="00757003"/>
    <w:rsid w:val="007578FF"/>
    <w:rsid w:val="0076164A"/>
    <w:rsid w:val="007618B3"/>
    <w:rsid w:val="00761D19"/>
    <w:rsid w:val="00763730"/>
    <w:rsid w:val="00764688"/>
    <w:rsid w:val="00764D07"/>
    <w:rsid w:val="007666CC"/>
    <w:rsid w:val="00766DC0"/>
    <w:rsid w:val="00766E68"/>
    <w:rsid w:val="00766F3E"/>
    <w:rsid w:val="00770228"/>
    <w:rsid w:val="0077114C"/>
    <w:rsid w:val="00771FC1"/>
    <w:rsid w:val="007725CE"/>
    <w:rsid w:val="00772A63"/>
    <w:rsid w:val="0077341D"/>
    <w:rsid w:val="00776F87"/>
    <w:rsid w:val="007810D9"/>
    <w:rsid w:val="00784E19"/>
    <w:rsid w:val="00785A9A"/>
    <w:rsid w:val="00785C5D"/>
    <w:rsid w:val="00785E60"/>
    <w:rsid w:val="00785FE7"/>
    <w:rsid w:val="00787C47"/>
    <w:rsid w:val="007904CB"/>
    <w:rsid w:val="00790A30"/>
    <w:rsid w:val="0079269F"/>
    <w:rsid w:val="007942D5"/>
    <w:rsid w:val="007976A5"/>
    <w:rsid w:val="007A005F"/>
    <w:rsid w:val="007A14B5"/>
    <w:rsid w:val="007A2748"/>
    <w:rsid w:val="007B07D0"/>
    <w:rsid w:val="007B1B35"/>
    <w:rsid w:val="007B1C0F"/>
    <w:rsid w:val="007B2492"/>
    <w:rsid w:val="007B2B52"/>
    <w:rsid w:val="007B2D09"/>
    <w:rsid w:val="007B516E"/>
    <w:rsid w:val="007B5308"/>
    <w:rsid w:val="007C0549"/>
    <w:rsid w:val="007C10A6"/>
    <w:rsid w:val="007C18C5"/>
    <w:rsid w:val="007C2086"/>
    <w:rsid w:val="007C3EE2"/>
    <w:rsid w:val="007C4056"/>
    <w:rsid w:val="007C5321"/>
    <w:rsid w:val="007C620B"/>
    <w:rsid w:val="007C6DEB"/>
    <w:rsid w:val="007D04D4"/>
    <w:rsid w:val="007D0785"/>
    <w:rsid w:val="007D1A9E"/>
    <w:rsid w:val="007D2DBC"/>
    <w:rsid w:val="007D46C9"/>
    <w:rsid w:val="007E0B69"/>
    <w:rsid w:val="007E101D"/>
    <w:rsid w:val="007E12F9"/>
    <w:rsid w:val="007E18DF"/>
    <w:rsid w:val="007E1A28"/>
    <w:rsid w:val="007E3FC3"/>
    <w:rsid w:val="007E4291"/>
    <w:rsid w:val="007E675D"/>
    <w:rsid w:val="007F0A0F"/>
    <w:rsid w:val="007F0D75"/>
    <w:rsid w:val="007F1B31"/>
    <w:rsid w:val="007F1DE8"/>
    <w:rsid w:val="007F5CA2"/>
    <w:rsid w:val="007F61BD"/>
    <w:rsid w:val="007F689C"/>
    <w:rsid w:val="0080104E"/>
    <w:rsid w:val="00802463"/>
    <w:rsid w:val="00802EA7"/>
    <w:rsid w:val="00805928"/>
    <w:rsid w:val="00806BCC"/>
    <w:rsid w:val="0081082F"/>
    <w:rsid w:val="00810A65"/>
    <w:rsid w:val="008121CF"/>
    <w:rsid w:val="00816CA4"/>
    <w:rsid w:val="008174B0"/>
    <w:rsid w:val="00817D5E"/>
    <w:rsid w:val="00820332"/>
    <w:rsid w:val="00821455"/>
    <w:rsid w:val="008238D0"/>
    <w:rsid w:val="0082661B"/>
    <w:rsid w:val="00826B91"/>
    <w:rsid w:val="00827502"/>
    <w:rsid w:val="00827FFB"/>
    <w:rsid w:val="00831F84"/>
    <w:rsid w:val="00834486"/>
    <w:rsid w:val="00837C26"/>
    <w:rsid w:val="00837D05"/>
    <w:rsid w:val="0084148B"/>
    <w:rsid w:val="008416FD"/>
    <w:rsid w:val="00842327"/>
    <w:rsid w:val="008426FD"/>
    <w:rsid w:val="00842F96"/>
    <w:rsid w:val="00843432"/>
    <w:rsid w:val="00843769"/>
    <w:rsid w:val="00843825"/>
    <w:rsid w:val="00843CF0"/>
    <w:rsid w:val="0084440C"/>
    <w:rsid w:val="00845386"/>
    <w:rsid w:val="008458E8"/>
    <w:rsid w:val="00845E06"/>
    <w:rsid w:val="008465E0"/>
    <w:rsid w:val="00846F3A"/>
    <w:rsid w:val="00847272"/>
    <w:rsid w:val="0085227E"/>
    <w:rsid w:val="00853134"/>
    <w:rsid w:val="0085727A"/>
    <w:rsid w:val="0085747E"/>
    <w:rsid w:val="008603B4"/>
    <w:rsid w:val="00861348"/>
    <w:rsid w:val="00863F7F"/>
    <w:rsid w:val="008653E1"/>
    <w:rsid w:val="00865590"/>
    <w:rsid w:val="0086689E"/>
    <w:rsid w:val="0087035C"/>
    <w:rsid w:val="00870CD5"/>
    <w:rsid w:val="00871072"/>
    <w:rsid w:val="008712DB"/>
    <w:rsid w:val="00871B68"/>
    <w:rsid w:val="00872B86"/>
    <w:rsid w:val="00873A83"/>
    <w:rsid w:val="00874066"/>
    <w:rsid w:val="008755CA"/>
    <w:rsid w:val="00875CF5"/>
    <w:rsid w:val="00876D01"/>
    <w:rsid w:val="00877092"/>
    <w:rsid w:val="00877595"/>
    <w:rsid w:val="00877D51"/>
    <w:rsid w:val="00881357"/>
    <w:rsid w:val="008842D1"/>
    <w:rsid w:val="00885A84"/>
    <w:rsid w:val="00885EAA"/>
    <w:rsid w:val="00886617"/>
    <w:rsid w:val="00886B47"/>
    <w:rsid w:val="00887493"/>
    <w:rsid w:val="00887F50"/>
    <w:rsid w:val="00890BA4"/>
    <w:rsid w:val="0089276B"/>
    <w:rsid w:val="008939F0"/>
    <w:rsid w:val="008940C5"/>
    <w:rsid w:val="008950BB"/>
    <w:rsid w:val="008954CC"/>
    <w:rsid w:val="008A15D7"/>
    <w:rsid w:val="008A453A"/>
    <w:rsid w:val="008A4D27"/>
    <w:rsid w:val="008A56F5"/>
    <w:rsid w:val="008A5F3C"/>
    <w:rsid w:val="008A6596"/>
    <w:rsid w:val="008B1241"/>
    <w:rsid w:val="008B4B8F"/>
    <w:rsid w:val="008B5C37"/>
    <w:rsid w:val="008B6808"/>
    <w:rsid w:val="008B68B4"/>
    <w:rsid w:val="008B69A4"/>
    <w:rsid w:val="008B767F"/>
    <w:rsid w:val="008B7768"/>
    <w:rsid w:val="008C0096"/>
    <w:rsid w:val="008C050E"/>
    <w:rsid w:val="008C0892"/>
    <w:rsid w:val="008C1225"/>
    <w:rsid w:val="008C232B"/>
    <w:rsid w:val="008C2F86"/>
    <w:rsid w:val="008C39EC"/>
    <w:rsid w:val="008C3B6E"/>
    <w:rsid w:val="008C3CCC"/>
    <w:rsid w:val="008C45E1"/>
    <w:rsid w:val="008C6877"/>
    <w:rsid w:val="008C71C9"/>
    <w:rsid w:val="008D062B"/>
    <w:rsid w:val="008D0A48"/>
    <w:rsid w:val="008D539B"/>
    <w:rsid w:val="008D56E3"/>
    <w:rsid w:val="008D609D"/>
    <w:rsid w:val="008E0DA0"/>
    <w:rsid w:val="008E3BF8"/>
    <w:rsid w:val="008E6BBB"/>
    <w:rsid w:val="008F01C9"/>
    <w:rsid w:val="008F0F81"/>
    <w:rsid w:val="008F1826"/>
    <w:rsid w:val="008F2227"/>
    <w:rsid w:val="008F2CD7"/>
    <w:rsid w:val="008F2CE9"/>
    <w:rsid w:val="008F356B"/>
    <w:rsid w:val="008F44A8"/>
    <w:rsid w:val="008F674F"/>
    <w:rsid w:val="0090188F"/>
    <w:rsid w:val="00903C44"/>
    <w:rsid w:val="00912953"/>
    <w:rsid w:val="009158E3"/>
    <w:rsid w:val="00917254"/>
    <w:rsid w:val="00917BB1"/>
    <w:rsid w:val="00920AE9"/>
    <w:rsid w:val="00921BD8"/>
    <w:rsid w:val="00924938"/>
    <w:rsid w:val="009257D9"/>
    <w:rsid w:val="00926BA9"/>
    <w:rsid w:val="0093298A"/>
    <w:rsid w:val="00932B5F"/>
    <w:rsid w:val="00934106"/>
    <w:rsid w:val="00942259"/>
    <w:rsid w:val="00942A0A"/>
    <w:rsid w:val="00943753"/>
    <w:rsid w:val="00944B7C"/>
    <w:rsid w:val="00945DF9"/>
    <w:rsid w:val="0094790D"/>
    <w:rsid w:val="00950152"/>
    <w:rsid w:val="00952B38"/>
    <w:rsid w:val="00955172"/>
    <w:rsid w:val="00956EB9"/>
    <w:rsid w:val="00956FD7"/>
    <w:rsid w:val="009572B9"/>
    <w:rsid w:val="009627E2"/>
    <w:rsid w:val="00965094"/>
    <w:rsid w:val="0096643C"/>
    <w:rsid w:val="009668BD"/>
    <w:rsid w:val="00967159"/>
    <w:rsid w:val="009745C9"/>
    <w:rsid w:val="009747E2"/>
    <w:rsid w:val="00977B08"/>
    <w:rsid w:val="00980848"/>
    <w:rsid w:val="00982769"/>
    <w:rsid w:val="009852AA"/>
    <w:rsid w:val="0099004C"/>
    <w:rsid w:val="009904A8"/>
    <w:rsid w:val="009919E9"/>
    <w:rsid w:val="00991C70"/>
    <w:rsid w:val="009920F5"/>
    <w:rsid w:val="00992761"/>
    <w:rsid w:val="00992935"/>
    <w:rsid w:val="0099317E"/>
    <w:rsid w:val="009950A9"/>
    <w:rsid w:val="00996954"/>
    <w:rsid w:val="00996EE7"/>
    <w:rsid w:val="0099765B"/>
    <w:rsid w:val="009A00F5"/>
    <w:rsid w:val="009A132C"/>
    <w:rsid w:val="009A1ED9"/>
    <w:rsid w:val="009A28DD"/>
    <w:rsid w:val="009A38B9"/>
    <w:rsid w:val="009A3E7B"/>
    <w:rsid w:val="009A43C6"/>
    <w:rsid w:val="009A45EE"/>
    <w:rsid w:val="009A4624"/>
    <w:rsid w:val="009A50CD"/>
    <w:rsid w:val="009B018E"/>
    <w:rsid w:val="009B0986"/>
    <w:rsid w:val="009B0BB5"/>
    <w:rsid w:val="009B1A02"/>
    <w:rsid w:val="009B1A87"/>
    <w:rsid w:val="009B1B97"/>
    <w:rsid w:val="009B4B1A"/>
    <w:rsid w:val="009B4DEE"/>
    <w:rsid w:val="009B4F76"/>
    <w:rsid w:val="009B5F5B"/>
    <w:rsid w:val="009B7061"/>
    <w:rsid w:val="009B7D84"/>
    <w:rsid w:val="009C07C2"/>
    <w:rsid w:val="009C1AAD"/>
    <w:rsid w:val="009C30ED"/>
    <w:rsid w:val="009C6A91"/>
    <w:rsid w:val="009C746D"/>
    <w:rsid w:val="009D0A7F"/>
    <w:rsid w:val="009D173B"/>
    <w:rsid w:val="009D222F"/>
    <w:rsid w:val="009D3771"/>
    <w:rsid w:val="009D3CD4"/>
    <w:rsid w:val="009D4DB7"/>
    <w:rsid w:val="009D4FFD"/>
    <w:rsid w:val="009D5EDB"/>
    <w:rsid w:val="009E08D4"/>
    <w:rsid w:val="009E1772"/>
    <w:rsid w:val="009E178C"/>
    <w:rsid w:val="009E38EC"/>
    <w:rsid w:val="009E3D2E"/>
    <w:rsid w:val="009E422A"/>
    <w:rsid w:val="009E48DF"/>
    <w:rsid w:val="009E5397"/>
    <w:rsid w:val="009E612B"/>
    <w:rsid w:val="009E6903"/>
    <w:rsid w:val="009E71E5"/>
    <w:rsid w:val="009F00F6"/>
    <w:rsid w:val="009F1CD6"/>
    <w:rsid w:val="009F1D6C"/>
    <w:rsid w:val="009F2151"/>
    <w:rsid w:val="009F52D1"/>
    <w:rsid w:val="009F64D2"/>
    <w:rsid w:val="00A004BF"/>
    <w:rsid w:val="00A112AE"/>
    <w:rsid w:val="00A11492"/>
    <w:rsid w:val="00A125F1"/>
    <w:rsid w:val="00A134A9"/>
    <w:rsid w:val="00A13B60"/>
    <w:rsid w:val="00A13E44"/>
    <w:rsid w:val="00A13E6E"/>
    <w:rsid w:val="00A147A8"/>
    <w:rsid w:val="00A14C53"/>
    <w:rsid w:val="00A1638C"/>
    <w:rsid w:val="00A202E1"/>
    <w:rsid w:val="00A214DA"/>
    <w:rsid w:val="00A21ACB"/>
    <w:rsid w:val="00A21E95"/>
    <w:rsid w:val="00A22EA6"/>
    <w:rsid w:val="00A236E0"/>
    <w:rsid w:val="00A2624C"/>
    <w:rsid w:val="00A26DB7"/>
    <w:rsid w:val="00A26DB9"/>
    <w:rsid w:val="00A31207"/>
    <w:rsid w:val="00A31361"/>
    <w:rsid w:val="00A330FF"/>
    <w:rsid w:val="00A33CE2"/>
    <w:rsid w:val="00A34532"/>
    <w:rsid w:val="00A36FC7"/>
    <w:rsid w:val="00A40033"/>
    <w:rsid w:val="00A43C08"/>
    <w:rsid w:val="00A457E6"/>
    <w:rsid w:val="00A45B2E"/>
    <w:rsid w:val="00A46975"/>
    <w:rsid w:val="00A55FDA"/>
    <w:rsid w:val="00A57660"/>
    <w:rsid w:val="00A604C8"/>
    <w:rsid w:val="00A606FB"/>
    <w:rsid w:val="00A60DAF"/>
    <w:rsid w:val="00A63A08"/>
    <w:rsid w:val="00A64397"/>
    <w:rsid w:val="00A7073F"/>
    <w:rsid w:val="00A71C04"/>
    <w:rsid w:val="00A7282B"/>
    <w:rsid w:val="00A76222"/>
    <w:rsid w:val="00A809B2"/>
    <w:rsid w:val="00A80EFF"/>
    <w:rsid w:val="00A80F5E"/>
    <w:rsid w:val="00A81CC5"/>
    <w:rsid w:val="00A85662"/>
    <w:rsid w:val="00A85F88"/>
    <w:rsid w:val="00A87AB2"/>
    <w:rsid w:val="00A902DE"/>
    <w:rsid w:val="00A91D80"/>
    <w:rsid w:val="00A942C1"/>
    <w:rsid w:val="00A96FA7"/>
    <w:rsid w:val="00A97DDA"/>
    <w:rsid w:val="00AA1452"/>
    <w:rsid w:val="00AA1A35"/>
    <w:rsid w:val="00AA1AE4"/>
    <w:rsid w:val="00AA1C49"/>
    <w:rsid w:val="00AA2220"/>
    <w:rsid w:val="00AA4586"/>
    <w:rsid w:val="00AA5D8E"/>
    <w:rsid w:val="00AA6BFC"/>
    <w:rsid w:val="00AA7334"/>
    <w:rsid w:val="00AB00D7"/>
    <w:rsid w:val="00AB20C6"/>
    <w:rsid w:val="00AB605B"/>
    <w:rsid w:val="00AB76C0"/>
    <w:rsid w:val="00AB7ED8"/>
    <w:rsid w:val="00AC07A4"/>
    <w:rsid w:val="00AC0CA1"/>
    <w:rsid w:val="00AC0D8B"/>
    <w:rsid w:val="00AC161C"/>
    <w:rsid w:val="00AC1D7D"/>
    <w:rsid w:val="00AC2B0A"/>
    <w:rsid w:val="00AC3E42"/>
    <w:rsid w:val="00AC4389"/>
    <w:rsid w:val="00AD1E2E"/>
    <w:rsid w:val="00AD3769"/>
    <w:rsid w:val="00AD3E0A"/>
    <w:rsid w:val="00AD436C"/>
    <w:rsid w:val="00AD581A"/>
    <w:rsid w:val="00AD59DC"/>
    <w:rsid w:val="00AD6D71"/>
    <w:rsid w:val="00AD7017"/>
    <w:rsid w:val="00AD7A34"/>
    <w:rsid w:val="00AE0777"/>
    <w:rsid w:val="00AE07FA"/>
    <w:rsid w:val="00AE34B0"/>
    <w:rsid w:val="00AE4893"/>
    <w:rsid w:val="00AE523A"/>
    <w:rsid w:val="00AE54F6"/>
    <w:rsid w:val="00AE756E"/>
    <w:rsid w:val="00AE76C9"/>
    <w:rsid w:val="00AE78CF"/>
    <w:rsid w:val="00AF0EC2"/>
    <w:rsid w:val="00AF1B90"/>
    <w:rsid w:val="00AF2325"/>
    <w:rsid w:val="00AF28CD"/>
    <w:rsid w:val="00AF2A4C"/>
    <w:rsid w:val="00AF3B5D"/>
    <w:rsid w:val="00AF3DD1"/>
    <w:rsid w:val="00AF40CD"/>
    <w:rsid w:val="00AF42F9"/>
    <w:rsid w:val="00AF46CB"/>
    <w:rsid w:val="00AF6686"/>
    <w:rsid w:val="00AF774A"/>
    <w:rsid w:val="00AF78FE"/>
    <w:rsid w:val="00B031A1"/>
    <w:rsid w:val="00B034A5"/>
    <w:rsid w:val="00B039EA"/>
    <w:rsid w:val="00B03E93"/>
    <w:rsid w:val="00B03F13"/>
    <w:rsid w:val="00B0556A"/>
    <w:rsid w:val="00B0566B"/>
    <w:rsid w:val="00B07400"/>
    <w:rsid w:val="00B0795A"/>
    <w:rsid w:val="00B10E17"/>
    <w:rsid w:val="00B1291A"/>
    <w:rsid w:val="00B12D87"/>
    <w:rsid w:val="00B1374D"/>
    <w:rsid w:val="00B1423A"/>
    <w:rsid w:val="00B152C8"/>
    <w:rsid w:val="00B16B6A"/>
    <w:rsid w:val="00B22123"/>
    <w:rsid w:val="00B22DF0"/>
    <w:rsid w:val="00B23D35"/>
    <w:rsid w:val="00B248B6"/>
    <w:rsid w:val="00B24D23"/>
    <w:rsid w:val="00B25613"/>
    <w:rsid w:val="00B3248D"/>
    <w:rsid w:val="00B32A54"/>
    <w:rsid w:val="00B32DF6"/>
    <w:rsid w:val="00B32F09"/>
    <w:rsid w:val="00B331BC"/>
    <w:rsid w:val="00B373CD"/>
    <w:rsid w:val="00B37894"/>
    <w:rsid w:val="00B40E0D"/>
    <w:rsid w:val="00B42862"/>
    <w:rsid w:val="00B42A5F"/>
    <w:rsid w:val="00B42B92"/>
    <w:rsid w:val="00B4347F"/>
    <w:rsid w:val="00B44D75"/>
    <w:rsid w:val="00B45BE5"/>
    <w:rsid w:val="00B4618E"/>
    <w:rsid w:val="00B52488"/>
    <w:rsid w:val="00B54262"/>
    <w:rsid w:val="00B54D33"/>
    <w:rsid w:val="00B604B9"/>
    <w:rsid w:val="00B61279"/>
    <w:rsid w:val="00B63402"/>
    <w:rsid w:val="00B637FA"/>
    <w:rsid w:val="00B63A45"/>
    <w:rsid w:val="00B65213"/>
    <w:rsid w:val="00B6701F"/>
    <w:rsid w:val="00B67DF3"/>
    <w:rsid w:val="00B700F4"/>
    <w:rsid w:val="00B70FE9"/>
    <w:rsid w:val="00B71447"/>
    <w:rsid w:val="00B71E23"/>
    <w:rsid w:val="00B7349E"/>
    <w:rsid w:val="00B739E8"/>
    <w:rsid w:val="00B74097"/>
    <w:rsid w:val="00B75673"/>
    <w:rsid w:val="00B803A8"/>
    <w:rsid w:val="00B82586"/>
    <w:rsid w:val="00B832BD"/>
    <w:rsid w:val="00B83570"/>
    <w:rsid w:val="00B843C2"/>
    <w:rsid w:val="00B87C0A"/>
    <w:rsid w:val="00B90F30"/>
    <w:rsid w:val="00B927B9"/>
    <w:rsid w:val="00B939E7"/>
    <w:rsid w:val="00B94AE7"/>
    <w:rsid w:val="00B971C1"/>
    <w:rsid w:val="00BA0765"/>
    <w:rsid w:val="00BA185D"/>
    <w:rsid w:val="00BA301A"/>
    <w:rsid w:val="00BA3EF4"/>
    <w:rsid w:val="00BA4C24"/>
    <w:rsid w:val="00BA5930"/>
    <w:rsid w:val="00BA6E90"/>
    <w:rsid w:val="00BB0990"/>
    <w:rsid w:val="00BB13F7"/>
    <w:rsid w:val="00BB172B"/>
    <w:rsid w:val="00BB3937"/>
    <w:rsid w:val="00BB4393"/>
    <w:rsid w:val="00BB4C56"/>
    <w:rsid w:val="00BB65D7"/>
    <w:rsid w:val="00BB7228"/>
    <w:rsid w:val="00BB7611"/>
    <w:rsid w:val="00BC0AA0"/>
    <w:rsid w:val="00BC3FEF"/>
    <w:rsid w:val="00BC420B"/>
    <w:rsid w:val="00BC484A"/>
    <w:rsid w:val="00BC6C76"/>
    <w:rsid w:val="00BD2A1E"/>
    <w:rsid w:val="00BD416A"/>
    <w:rsid w:val="00BD56AA"/>
    <w:rsid w:val="00BD5D55"/>
    <w:rsid w:val="00BD5E2E"/>
    <w:rsid w:val="00BD67A4"/>
    <w:rsid w:val="00BE187D"/>
    <w:rsid w:val="00BE2763"/>
    <w:rsid w:val="00BE395C"/>
    <w:rsid w:val="00BE548E"/>
    <w:rsid w:val="00BE72E9"/>
    <w:rsid w:val="00BF132E"/>
    <w:rsid w:val="00BF3B91"/>
    <w:rsid w:val="00BF3C6E"/>
    <w:rsid w:val="00BF3E2E"/>
    <w:rsid w:val="00BF709D"/>
    <w:rsid w:val="00BF7718"/>
    <w:rsid w:val="00C00A23"/>
    <w:rsid w:val="00C015A2"/>
    <w:rsid w:val="00C0208C"/>
    <w:rsid w:val="00C027AF"/>
    <w:rsid w:val="00C05260"/>
    <w:rsid w:val="00C060B2"/>
    <w:rsid w:val="00C0620E"/>
    <w:rsid w:val="00C07256"/>
    <w:rsid w:val="00C10F11"/>
    <w:rsid w:val="00C11091"/>
    <w:rsid w:val="00C11C4E"/>
    <w:rsid w:val="00C15278"/>
    <w:rsid w:val="00C16CBB"/>
    <w:rsid w:val="00C17A95"/>
    <w:rsid w:val="00C17B1A"/>
    <w:rsid w:val="00C210FE"/>
    <w:rsid w:val="00C21E2C"/>
    <w:rsid w:val="00C2224C"/>
    <w:rsid w:val="00C223A4"/>
    <w:rsid w:val="00C236B2"/>
    <w:rsid w:val="00C23FF2"/>
    <w:rsid w:val="00C2724F"/>
    <w:rsid w:val="00C27990"/>
    <w:rsid w:val="00C27C7B"/>
    <w:rsid w:val="00C31CDB"/>
    <w:rsid w:val="00C32E70"/>
    <w:rsid w:val="00C336E1"/>
    <w:rsid w:val="00C33BF0"/>
    <w:rsid w:val="00C37BF7"/>
    <w:rsid w:val="00C42EC9"/>
    <w:rsid w:val="00C434AF"/>
    <w:rsid w:val="00C47726"/>
    <w:rsid w:val="00C47D60"/>
    <w:rsid w:val="00C50054"/>
    <w:rsid w:val="00C52623"/>
    <w:rsid w:val="00C55EC6"/>
    <w:rsid w:val="00C568AA"/>
    <w:rsid w:val="00C56BEA"/>
    <w:rsid w:val="00C56C5C"/>
    <w:rsid w:val="00C60A1C"/>
    <w:rsid w:val="00C620CF"/>
    <w:rsid w:val="00C62461"/>
    <w:rsid w:val="00C640FD"/>
    <w:rsid w:val="00C64D1F"/>
    <w:rsid w:val="00C6599E"/>
    <w:rsid w:val="00C66095"/>
    <w:rsid w:val="00C67272"/>
    <w:rsid w:val="00C71231"/>
    <w:rsid w:val="00C71347"/>
    <w:rsid w:val="00C71450"/>
    <w:rsid w:val="00C71AD0"/>
    <w:rsid w:val="00C725CA"/>
    <w:rsid w:val="00C73BD3"/>
    <w:rsid w:val="00C74186"/>
    <w:rsid w:val="00C74D14"/>
    <w:rsid w:val="00C74F11"/>
    <w:rsid w:val="00C76E65"/>
    <w:rsid w:val="00C770C4"/>
    <w:rsid w:val="00C77DCE"/>
    <w:rsid w:val="00C81BAE"/>
    <w:rsid w:val="00C83519"/>
    <w:rsid w:val="00C83BC9"/>
    <w:rsid w:val="00C87C9C"/>
    <w:rsid w:val="00C92888"/>
    <w:rsid w:val="00C95693"/>
    <w:rsid w:val="00C97195"/>
    <w:rsid w:val="00CA17D1"/>
    <w:rsid w:val="00CA1FB3"/>
    <w:rsid w:val="00CA3CBB"/>
    <w:rsid w:val="00CA4577"/>
    <w:rsid w:val="00CA4E43"/>
    <w:rsid w:val="00CA548F"/>
    <w:rsid w:val="00CA5AE6"/>
    <w:rsid w:val="00CA6605"/>
    <w:rsid w:val="00CB05D2"/>
    <w:rsid w:val="00CB264D"/>
    <w:rsid w:val="00CB4C99"/>
    <w:rsid w:val="00CB5BBF"/>
    <w:rsid w:val="00CB78E6"/>
    <w:rsid w:val="00CB7EDE"/>
    <w:rsid w:val="00CC0A99"/>
    <w:rsid w:val="00CC5C46"/>
    <w:rsid w:val="00CD1383"/>
    <w:rsid w:val="00CD5592"/>
    <w:rsid w:val="00CD6F77"/>
    <w:rsid w:val="00CE0D07"/>
    <w:rsid w:val="00CE1378"/>
    <w:rsid w:val="00CE1A63"/>
    <w:rsid w:val="00CE202C"/>
    <w:rsid w:val="00CE32A9"/>
    <w:rsid w:val="00CE5D51"/>
    <w:rsid w:val="00CF2CA4"/>
    <w:rsid w:val="00CF6ADC"/>
    <w:rsid w:val="00D03BD5"/>
    <w:rsid w:val="00D066B7"/>
    <w:rsid w:val="00D066F8"/>
    <w:rsid w:val="00D1065F"/>
    <w:rsid w:val="00D10803"/>
    <w:rsid w:val="00D11192"/>
    <w:rsid w:val="00D1124D"/>
    <w:rsid w:val="00D1521F"/>
    <w:rsid w:val="00D16EAE"/>
    <w:rsid w:val="00D171E0"/>
    <w:rsid w:val="00D17457"/>
    <w:rsid w:val="00D20882"/>
    <w:rsid w:val="00D20890"/>
    <w:rsid w:val="00D23CF6"/>
    <w:rsid w:val="00D24FBC"/>
    <w:rsid w:val="00D26DB1"/>
    <w:rsid w:val="00D3442F"/>
    <w:rsid w:val="00D3691F"/>
    <w:rsid w:val="00D36D00"/>
    <w:rsid w:val="00D37838"/>
    <w:rsid w:val="00D37F18"/>
    <w:rsid w:val="00D40D80"/>
    <w:rsid w:val="00D413ED"/>
    <w:rsid w:val="00D41C56"/>
    <w:rsid w:val="00D4211D"/>
    <w:rsid w:val="00D42614"/>
    <w:rsid w:val="00D4337D"/>
    <w:rsid w:val="00D44A9F"/>
    <w:rsid w:val="00D462C9"/>
    <w:rsid w:val="00D47E91"/>
    <w:rsid w:val="00D51655"/>
    <w:rsid w:val="00D54675"/>
    <w:rsid w:val="00D56A9F"/>
    <w:rsid w:val="00D57451"/>
    <w:rsid w:val="00D62695"/>
    <w:rsid w:val="00D62E29"/>
    <w:rsid w:val="00D62FF4"/>
    <w:rsid w:val="00D632E9"/>
    <w:rsid w:val="00D65237"/>
    <w:rsid w:val="00D668B4"/>
    <w:rsid w:val="00D705D7"/>
    <w:rsid w:val="00D71132"/>
    <w:rsid w:val="00D73AFB"/>
    <w:rsid w:val="00D73B79"/>
    <w:rsid w:val="00D757B7"/>
    <w:rsid w:val="00D768B9"/>
    <w:rsid w:val="00D80887"/>
    <w:rsid w:val="00D80A84"/>
    <w:rsid w:val="00D81C3E"/>
    <w:rsid w:val="00D81ED1"/>
    <w:rsid w:val="00D82B9F"/>
    <w:rsid w:val="00D841A0"/>
    <w:rsid w:val="00D92234"/>
    <w:rsid w:val="00D92BE6"/>
    <w:rsid w:val="00D94C3E"/>
    <w:rsid w:val="00D95D08"/>
    <w:rsid w:val="00D97B3E"/>
    <w:rsid w:val="00D97CB6"/>
    <w:rsid w:val="00DA0CFA"/>
    <w:rsid w:val="00DA1407"/>
    <w:rsid w:val="00DA2F97"/>
    <w:rsid w:val="00DA543E"/>
    <w:rsid w:val="00DA5E1E"/>
    <w:rsid w:val="00DB0295"/>
    <w:rsid w:val="00DB09CE"/>
    <w:rsid w:val="00DB1D0B"/>
    <w:rsid w:val="00DB20BC"/>
    <w:rsid w:val="00DB3F9A"/>
    <w:rsid w:val="00DB44D2"/>
    <w:rsid w:val="00DB538A"/>
    <w:rsid w:val="00DB65B3"/>
    <w:rsid w:val="00DB6AC4"/>
    <w:rsid w:val="00DC171E"/>
    <w:rsid w:val="00DC24CF"/>
    <w:rsid w:val="00DC3441"/>
    <w:rsid w:val="00DC4DE6"/>
    <w:rsid w:val="00DC5A26"/>
    <w:rsid w:val="00DC6251"/>
    <w:rsid w:val="00DC6298"/>
    <w:rsid w:val="00DD0B52"/>
    <w:rsid w:val="00DD281A"/>
    <w:rsid w:val="00DD29BE"/>
    <w:rsid w:val="00DD2B53"/>
    <w:rsid w:val="00DD2DF4"/>
    <w:rsid w:val="00DD4575"/>
    <w:rsid w:val="00DD55D8"/>
    <w:rsid w:val="00DD625D"/>
    <w:rsid w:val="00DD6D78"/>
    <w:rsid w:val="00DE0BF2"/>
    <w:rsid w:val="00DE2867"/>
    <w:rsid w:val="00DE451E"/>
    <w:rsid w:val="00DE4C24"/>
    <w:rsid w:val="00DE4FF7"/>
    <w:rsid w:val="00DE563E"/>
    <w:rsid w:val="00DE6D21"/>
    <w:rsid w:val="00DF0148"/>
    <w:rsid w:val="00DF264E"/>
    <w:rsid w:val="00DF3CD0"/>
    <w:rsid w:val="00DF6CBF"/>
    <w:rsid w:val="00DF7DA0"/>
    <w:rsid w:val="00E009E6"/>
    <w:rsid w:val="00E02EBD"/>
    <w:rsid w:val="00E04D77"/>
    <w:rsid w:val="00E055C8"/>
    <w:rsid w:val="00E05DFF"/>
    <w:rsid w:val="00E0635E"/>
    <w:rsid w:val="00E068DD"/>
    <w:rsid w:val="00E10C10"/>
    <w:rsid w:val="00E10FC0"/>
    <w:rsid w:val="00E12CD5"/>
    <w:rsid w:val="00E13886"/>
    <w:rsid w:val="00E14438"/>
    <w:rsid w:val="00E1555A"/>
    <w:rsid w:val="00E15F57"/>
    <w:rsid w:val="00E17074"/>
    <w:rsid w:val="00E173E8"/>
    <w:rsid w:val="00E17E78"/>
    <w:rsid w:val="00E213CE"/>
    <w:rsid w:val="00E221AD"/>
    <w:rsid w:val="00E2642F"/>
    <w:rsid w:val="00E267D9"/>
    <w:rsid w:val="00E320EB"/>
    <w:rsid w:val="00E334C1"/>
    <w:rsid w:val="00E33963"/>
    <w:rsid w:val="00E40618"/>
    <w:rsid w:val="00E40B3A"/>
    <w:rsid w:val="00E4137B"/>
    <w:rsid w:val="00E41BD3"/>
    <w:rsid w:val="00E41D93"/>
    <w:rsid w:val="00E46FB2"/>
    <w:rsid w:val="00E46FB4"/>
    <w:rsid w:val="00E50600"/>
    <w:rsid w:val="00E50EB0"/>
    <w:rsid w:val="00E5126F"/>
    <w:rsid w:val="00E51623"/>
    <w:rsid w:val="00E52679"/>
    <w:rsid w:val="00E52A9E"/>
    <w:rsid w:val="00E531BA"/>
    <w:rsid w:val="00E53CBC"/>
    <w:rsid w:val="00E56C8F"/>
    <w:rsid w:val="00E57712"/>
    <w:rsid w:val="00E57B2D"/>
    <w:rsid w:val="00E60442"/>
    <w:rsid w:val="00E607B0"/>
    <w:rsid w:val="00E60A64"/>
    <w:rsid w:val="00E6106D"/>
    <w:rsid w:val="00E62A28"/>
    <w:rsid w:val="00E64791"/>
    <w:rsid w:val="00E64A59"/>
    <w:rsid w:val="00E64D73"/>
    <w:rsid w:val="00E6762D"/>
    <w:rsid w:val="00E67A83"/>
    <w:rsid w:val="00E72CC0"/>
    <w:rsid w:val="00E74B1A"/>
    <w:rsid w:val="00E75D5C"/>
    <w:rsid w:val="00E76F19"/>
    <w:rsid w:val="00E77A46"/>
    <w:rsid w:val="00E77C58"/>
    <w:rsid w:val="00E849A3"/>
    <w:rsid w:val="00E85A0A"/>
    <w:rsid w:val="00E8604A"/>
    <w:rsid w:val="00E866B7"/>
    <w:rsid w:val="00E87170"/>
    <w:rsid w:val="00E90069"/>
    <w:rsid w:val="00E91E22"/>
    <w:rsid w:val="00E94013"/>
    <w:rsid w:val="00E95D63"/>
    <w:rsid w:val="00E96C58"/>
    <w:rsid w:val="00E97005"/>
    <w:rsid w:val="00E9766F"/>
    <w:rsid w:val="00E97FC2"/>
    <w:rsid w:val="00EA0A47"/>
    <w:rsid w:val="00EA0BA8"/>
    <w:rsid w:val="00EA2FBE"/>
    <w:rsid w:val="00EA37A7"/>
    <w:rsid w:val="00EA385E"/>
    <w:rsid w:val="00EA4CE5"/>
    <w:rsid w:val="00EA7BAA"/>
    <w:rsid w:val="00EA7E0C"/>
    <w:rsid w:val="00EB5F9F"/>
    <w:rsid w:val="00EB710C"/>
    <w:rsid w:val="00EC0485"/>
    <w:rsid w:val="00EC126E"/>
    <w:rsid w:val="00EC21A9"/>
    <w:rsid w:val="00EC406F"/>
    <w:rsid w:val="00EC4361"/>
    <w:rsid w:val="00EC633A"/>
    <w:rsid w:val="00ED0783"/>
    <w:rsid w:val="00ED19B0"/>
    <w:rsid w:val="00ED3312"/>
    <w:rsid w:val="00ED33C1"/>
    <w:rsid w:val="00ED4E2A"/>
    <w:rsid w:val="00ED6F40"/>
    <w:rsid w:val="00EE1172"/>
    <w:rsid w:val="00EE26C1"/>
    <w:rsid w:val="00EE2EDE"/>
    <w:rsid w:val="00EE4AB9"/>
    <w:rsid w:val="00EE7058"/>
    <w:rsid w:val="00EF226B"/>
    <w:rsid w:val="00EF2749"/>
    <w:rsid w:val="00EF40A3"/>
    <w:rsid w:val="00EF4666"/>
    <w:rsid w:val="00EF479D"/>
    <w:rsid w:val="00EF5DED"/>
    <w:rsid w:val="00EF63D3"/>
    <w:rsid w:val="00EF682A"/>
    <w:rsid w:val="00EF6B19"/>
    <w:rsid w:val="00EF7834"/>
    <w:rsid w:val="00EF7F29"/>
    <w:rsid w:val="00EF7F2D"/>
    <w:rsid w:val="00F00260"/>
    <w:rsid w:val="00F00C49"/>
    <w:rsid w:val="00F01267"/>
    <w:rsid w:val="00F02208"/>
    <w:rsid w:val="00F02C4E"/>
    <w:rsid w:val="00F02E50"/>
    <w:rsid w:val="00F02E9B"/>
    <w:rsid w:val="00F05341"/>
    <w:rsid w:val="00F05CCC"/>
    <w:rsid w:val="00F141D6"/>
    <w:rsid w:val="00F14E3B"/>
    <w:rsid w:val="00F1694D"/>
    <w:rsid w:val="00F20615"/>
    <w:rsid w:val="00F210D9"/>
    <w:rsid w:val="00F21C9B"/>
    <w:rsid w:val="00F2317D"/>
    <w:rsid w:val="00F2325E"/>
    <w:rsid w:val="00F2378D"/>
    <w:rsid w:val="00F32847"/>
    <w:rsid w:val="00F36140"/>
    <w:rsid w:val="00F36F4C"/>
    <w:rsid w:val="00F3747E"/>
    <w:rsid w:val="00F37B20"/>
    <w:rsid w:val="00F37D45"/>
    <w:rsid w:val="00F4036F"/>
    <w:rsid w:val="00F4151F"/>
    <w:rsid w:val="00F4174C"/>
    <w:rsid w:val="00F41B21"/>
    <w:rsid w:val="00F41B8E"/>
    <w:rsid w:val="00F43472"/>
    <w:rsid w:val="00F44347"/>
    <w:rsid w:val="00F445C6"/>
    <w:rsid w:val="00F471F0"/>
    <w:rsid w:val="00F50142"/>
    <w:rsid w:val="00F5151F"/>
    <w:rsid w:val="00F54C57"/>
    <w:rsid w:val="00F556BB"/>
    <w:rsid w:val="00F56A1E"/>
    <w:rsid w:val="00F60234"/>
    <w:rsid w:val="00F619D5"/>
    <w:rsid w:val="00F625A3"/>
    <w:rsid w:val="00F64FE4"/>
    <w:rsid w:val="00F65BF8"/>
    <w:rsid w:val="00F7000E"/>
    <w:rsid w:val="00F70E60"/>
    <w:rsid w:val="00F70EE8"/>
    <w:rsid w:val="00F718AA"/>
    <w:rsid w:val="00F72B8D"/>
    <w:rsid w:val="00F72E1C"/>
    <w:rsid w:val="00F745B9"/>
    <w:rsid w:val="00F74A2E"/>
    <w:rsid w:val="00F7705D"/>
    <w:rsid w:val="00F77CC9"/>
    <w:rsid w:val="00F83D89"/>
    <w:rsid w:val="00F86083"/>
    <w:rsid w:val="00F87279"/>
    <w:rsid w:val="00F9319E"/>
    <w:rsid w:val="00F933CE"/>
    <w:rsid w:val="00F942BB"/>
    <w:rsid w:val="00F96234"/>
    <w:rsid w:val="00FA1510"/>
    <w:rsid w:val="00FA158B"/>
    <w:rsid w:val="00FA18A0"/>
    <w:rsid w:val="00FA2678"/>
    <w:rsid w:val="00FA2BC6"/>
    <w:rsid w:val="00FA3D79"/>
    <w:rsid w:val="00FA5BB7"/>
    <w:rsid w:val="00FA7C40"/>
    <w:rsid w:val="00FB0257"/>
    <w:rsid w:val="00FB0406"/>
    <w:rsid w:val="00FB14B6"/>
    <w:rsid w:val="00FB2417"/>
    <w:rsid w:val="00FB2ABE"/>
    <w:rsid w:val="00FB2F49"/>
    <w:rsid w:val="00FB5AE2"/>
    <w:rsid w:val="00FB7767"/>
    <w:rsid w:val="00FB78D0"/>
    <w:rsid w:val="00FC1A7E"/>
    <w:rsid w:val="00FC1FA5"/>
    <w:rsid w:val="00FC4031"/>
    <w:rsid w:val="00FC4A9A"/>
    <w:rsid w:val="00FC60E0"/>
    <w:rsid w:val="00FC75F8"/>
    <w:rsid w:val="00FD209B"/>
    <w:rsid w:val="00FD2694"/>
    <w:rsid w:val="00FD2B6B"/>
    <w:rsid w:val="00FD5825"/>
    <w:rsid w:val="00FD594B"/>
    <w:rsid w:val="00FD5D1B"/>
    <w:rsid w:val="00FD65D7"/>
    <w:rsid w:val="00FD70F3"/>
    <w:rsid w:val="00FE00C6"/>
    <w:rsid w:val="00FE0375"/>
    <w:rsid w:val="00FE2176"/>
    <w:rsid w:val="00FE4F10"/>
    <w:rsid w:val="00FE5453"/>
    <w:rsid w:val="00FE5DFC"/>
    <w:rsid w:val="00FE63BF"/>
    <w:rsid w:val="00FF0153"/>
    <w:rsid w:val="00FF0F58"/>
    <w:rsid w:val="00FF11BD"/>
    <w:rsid w:val="00FF15B7"/>
    <w:rsid w:val="00FF219F"/>
    <w:rsid w:val="00FF4468"/>
    <w:rsid w:val="00FF5836"/>
    <w:rsid w:val="00FF7E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C5103"/>
  <w15:docId w15:val="{B677C791-7ED6-427D-8B1B-42B67CABE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Section"/>
    <w:basedOn w:val="Normal"/>
    <w:next w:val="Normal"/>
    <w:link w:val="Heading1Char"/>
    <w:qFormat/>
    <w:rsid w:val="001E184C"/>
    <w:pPr>
      <w:keepNext/>
      <w:keepLines/>
      <w:numPr>
        <w:numId w:val="1"/>
      </w:numPr>
      <w:tabs>
        <w:tab w:val="clear" w:pos="360"/>
        <w:tab w:val="left" w:pos="288"/>
      </w:tabs>
      <w:suppressAutoHyphens/>
      <w:spacing w:before="240" w:after="120" w:line="240" w:lineRule="auto"/>
      <w:ind w:left="288" w:right="288" w:hanging="288"/>
      <w:outlineLvl w:val="0"/>
    </w:pPr>
    <w:rPr>
      <w:rFonts w:ascii="Times New Roman" w:eastAsia="SimSun" w:hAnsi="Times New Roman" w:cs="Times New Roman"/>
      <w:b/>
      <w:kern w:val="28"/>
      <w:sz w:val="20"/>
      <w:szCs w:val="24"/>
    </w:rPr>
  </w:style>
  <w:style w:type="paragraph" w:styleId="Heading2">
    <w:name w:val="heading 2"/>
    <w:aliases w:val="Subsection"/>
    <w:basedOn w:val="Normal"/>
    <w:next w:val="Normal"/>
    <w:link w:val="Heading2Char"/>
    <w:uiPriority w:val="9"/>
    <w:qFormat/>
    <w:rsid w:val="001E184C"/>
    <w:pPr>
      <w:keepNext/>
      <w:numPr>
        <w:ilvl w:val="1"/>
        <w:numId w:val="1"/>
      </w:numPr>
      <w:tabs>
        <w:tab w:val="left" w:pos="432"/>
      </w:tabs>
      <w:spacing w:before="240" w:after="120" w:line="240" w:lineRule="auto"/>
      <w:ind w:right="360"/>
      <w:outlineLvl w:val="1"/>
    </w:pPr>
    <w:rPr>
      <w:rFonts w:ascii="Times New Roman" w:eastAsia="SimSun" w:hAnsi="Times New Roman" w:cs="Times New Roman"/>
      <w:b/>
      <w:i/>
      <w:sz w:val="20"/>
      <w:szCs w:val="24"/>
    </w:rPr>
  </w:style>
  <w:style w:type="paragraph" w:styleId="Heading3">
    <w:name w:val="heading 3"/>
    <w:basedOn w:val="Normal"/>
    <w:next w:val="Normal"/>
    <w:link w:val="Heading3Char"/>
    <w:uiPriority w:val="9"/>
    <w:unhideWhenUsed/>
    <w:qFormat/>
    <w:rsid w:val="000A0B1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E137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1E184C"/>
    <w:rPr>
      <w:rFonts w:ascii="Times New Roman" w:eastAsia="SimSun" w:hAnsi="Times New Roman" w:cs="Times New Roman"/>
      <w:b/>
      <w:kern w:val="28"/>
      <w:sz w:val="20"/>
      <w:szCs w:val="24"/>
    </w:rPr>
  </w:style>
  <w:style w:type="character" w:customStyle="1" w:styleId="Heading2Char">
    <w:name w:val="Heading 2 Char"/>
    <w:aliases w:val="Subsection Char"/>
    <w:basedOn w:val="DefaultParagraphFont"/>
    <w:link w:val="Heading2"/>
    <w:uiPriority w:val="9"/>
    <w:rsid w:val="001E184C"/>
    <w:rPr>
      <w:rFonts w:ascii="Times New Roman" w:eastAsia="SimSun" w:hAnsi="Times New Roman" w:cs="Times New Roman"/>
      <w:b/>
      <w:i/>
      <w:sz w:val="20"/>
      <w:szCs w:val="24"/>
    </w:rPr>
  </w:style>
  <w:style w:type="character" w:customStyle="1" w:styleId="Heading3Char">
    <w:name w:val="Heading 3 Char"/>
    <w:basedOn w:val="DefaultParagraphFont"/>
    <w:link w:val="Heading3"/>
    <w:uiPriority w:val="9"/>
    <w:rsid w:val="000A0B1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E1378"/>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BA18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85D"/>
  </w:style>
  <w:style w:type="paragraph" w:styleId="Footer">
    <w:name w:val="footer"/>
    <w:basedOn w:val="Normal"/>
    <w:link w:val="FooterChar"/>
    <w:uiPriority w:val="99"/>
    <w:unhideWhenUsed/>
    <w:qFormat/>
    <w:rsid w:val="00BA1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85D"/>
  </w:style>
  <w:style w:type="character" w:styleId="Hyperlink">
    <w:name w:val="Hyperlink"/>
    <w:basedOn w:val="DefaultParagraphFont"/>
    <w:uiPriority w:val="99"/>
    <w:unhideWhenUsed/>
    <w:rsid w:val="00BA185D"/>
    <w:rPr>
      <w:color w:val="0000FF"/>
      <w:u w:val="single"/>
    </w:rPr>
  </w:style>
  <w:style w:type="paragraph" w:styleId="ListParagraph">
    <w:name w:val="List Paragraph"/>
    <w:aliases w:val="Body of text"/>
    <w:basedOn w:val="Normal"/>
    <w:link w:val="ListParagraphChar"/>
    <w:uiPriority w:val="34"/>
    <w:qFormat/>
    <w:rsid w:val="00763730"/>
    <w:pPr>
      <w:ind w:left="720"/>
      <w:contextualSpacing/>
    </w:pPr>
  </w:style>
  <w:style w:type="character" w:customStyle="1" w:styleId="ListParagraphChar">
    <w:name w:val="List Paragraph Char"/>
    <w:aliases w:val="Body of text Char"/>
    <w:link w:val="ListParagraph"/>
    <w:uiPriority w:val="34"/>
    <w:locked/>
    <w:rsid w:val="000854E4"/>
  </w:style>
  <w:style w:type="paragraph" w:customStyle="1" w:styleId="Default">
    <w:name w:val="Default"/>
    <w:rsid w:val="0094790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PlainTable21">
    <w:name w:val="Plain Table 21"/>
    <w:basedOn w:val="TableNormal"/>
    <w:uiPriority w:val="42"/>
    <w:rsid w:val="0094790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872B86"/>
    <w:rPr>
      <w:color w:val="954F72" w:themeColor="followedHyperlink"/>
      <w:u w:val="single"/>
    </w:rPr>
  </w:style>
  <w:style w:type="character" w:customStyle="1" w:styleId="UnresolvedMention1">
    <w:name w:val="Unresolved Mention1"/>
    <w:basedOn w:val="DefaultParagraphFont"/>
    <w:uiPriority w:val="99"/>
    <w:semiHidden/>
    <w:unhideWhenUsed/>
    <w:rsid w:val="0005077F"/>
    <w:rPr>
      <w:color w:val="808080"/>
      <w:shd w:val="clear" w:color="auto" w:fill="E6E6E6"/>
    </w:rPr>
  </w:style>
  <w:style w:type="paragraph" w:customStyle="1" w:styleId="TextIndent">
    <w:name w:val="Text Indent"/>
    <w:autoRedefine/>
    <w:rsid w:val="00AF40CD"/>
    <w:pPr>
      <w:spacing w:after="0" w:line="240" w:lineRule="auto"/>
      <w:jc w:val="both"/>
    </w:pPr>
    <w:rPr>
      <w:rFonts w:ascii="Times New Roman" w:eastAsia="SimSun" w:hAnsi="Times New Roman" w:cs="Times New Roman"/>
      <w:szCs w:val="20"/>
    </w:rPr>
  </w:style>
  <w:style w:type="paragraph" w:customStyle="1" w:styleId="Text">
    <w:name w:val="Text"/>
    <w:basedOn w:val="Normal"/>
    <w:rsid w:val="00C21E2C"/>
    <w:pPr>
      <w:tabs>
        <w:tab w:val="right" w:pos="7200"/>
      </w:tabs>
      <w:spacing w:after="0" w:line="260" w:lineRule="exact"/>
      <w:jc w:val="both"/>
    </w:pPr>
    <w:rPr>
      <w:rFonts w:ascii="Times New Roman" w:eastAsia="SimSun" w:hAnsi="Times New Roman" w:cs="Times New Roman"/>
      <w:sz w:val="20"/>
      <w:szCs w:val="24"/>
    </w:rPr>
  </w:style>
  <w:style w:type="character" w:styleId="CommentReference">
    <w:name w:val="annotation reference"/>
    <w:basedOn w:val="DefaultParagraphFont"/>
    <w:uiPriority w:val="99"/>
    <w:semiHidden/>
    <w:unhideWhenUsed/>
    <w:rsid w:val="00B82586"/>
    <w:rPr>
      <w:sz w:val="16"/>
      <w:szCs w:val="16"/>
    </w:rPr>
  </w:style>
  <w:style w:type="paragraph" w:styleId="CommentText">
    <w:name w:val="annotation text"/>
    <w:basedOn w:val="Normal"/>
    <w:link w:val="CommentTextChar"/>
    <w:uiPriority w:val="99"/>
    <w:semiHidden/>
    <w:unhideWhenUsed/>
    <w:rsid w:val="00ED6F40"/>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ED6F40"/>
    <w:rPr>
      <w:sz w:val="20"/>
      <w:szCs w:val="20"/>
    </w:rPr>
  </w:style>
  <w:style w:type="paragraph" w:customStyle="1" w:styleId="Body">
    <w:name w:val="Body"/>
    <w:rsid w:val="00845386"/>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table" w:styleId="TableGrid">
    <w:name w:val="Table Grid"/>
    <w:basedOn w:val="TableNormal"/>
    <w:qFormat/>
    <w:rsid w:val="00677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B16B6A"/>
  </w:style>
  <w:style w:type="paragraph" w:styleId="BalloonText">
    <w:name w:val="Balloon Text"/>
    <w:basedOn w:val="Normal"/>
    <w:link w:val="BalloonTextChar"/>
    <w:uiPriority w:val="99"/>
    <w:semiHidden/>
    <w:unhideWhenUsed/>
    <w:rsid w:val="006545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55E"/>
    <w:rPr>
      <w:rFonts w:ascii="Segoe UI" w:hAnsi="Segoe UI" w:cs="Segoe UI"/>
      <w:sz w:val="18"/>
      <w:szCs w:val="18"/>
    </w:rPr>
  </w:style>
  <w:style w:type="paragraph" w:customStyle="1" w:styleId="Address">
    <w:name w:val="Address"/>
    <w:basedOn w:val="Normal"/>
    <w:link w:val="AddressChar"/>
    <w:rsid w:val="00C76E65"/>
    <w:pPr>
      <w:spacing w:after="0" w:line="240" w:lineRule="auto"/>
      <w:jc w:val="center"/>
    </w:pPr>
    <w:rPr>
      <w:rFonts w:ascii="Arial" w:eastAsia="Times New Roman" w:hAnsi="Arial" w:cs="Times New Roman"/>
      <w:sz w:val="20"/>
      <w:szCs w:val="20"/>
    </w:rPr>
  </w:style>
  <w:style w:type="character" w:customStyle="1" w:styleId="AddressChar">
    <w:name w:val="Address Char"/>
    <w:link w:val="Address"/>
    <w:rsid w:val="00C76E65"/>
    <w:rPr>
      <w:rFonts w:ascii="Arial" w:eastAsia="Times New Roman" w:hAnsi="Arial" w:cs="Times New Roman"/>
      <w:sz w:val="20"/>
      <w:szCs w:val="20"/>
    </w:rPr>
  </w:style>
  <w:style w:type="character" w:customStyle="1" w:styleId="fontstyle01">
    <w:name w:val="fontstyle01"/>
    <w:basedOn w:val="DefaultParagraphFont"/>
    <w:rsid w:val="006819EA"/>
    <w:rPr>
      <w:rFonts w:ascii="Times New Roman" w:hAnsi="Times New Roman" w:cs="Times New Roman" w:hint="default"/>
      <w:b w:val="0"/>
      <w:bCs w:val="0"/>
      <w:i w:val="0"/>
      <w:iCs w:val="0"/>
      <w:color w:val="000000"/>
      <w:sz w:val="24"/>
      <w:szCs w:val="24"/>
    </w:rPr>
  </w:style>
  <w:style w:type="paragraph" w:styleId="Caption">
    <w:name w:val="caption"/>
    <w:basedOn w:val="Normal"/>
    <w:next w:val="Normal"/>
    <w:uiPriority w:val="35"/>
    <w:unhideWhenUsed/>
    <w:qFormat/>
    <w:rsid w:val="00AE07FA"/>
    <w:pPr>
      <w:spacing w:after="200" w:line="240" w:lineRule="auto"/>
    </w:pPr>
    <w:rPr>
      <w:rFonts w:eastAsiaTheme="minorEastAsia"/>
      <w:b/>
      <w:bCs/>
      <w:color w:val="5B9BD5" w:themeColor="accent1"/>
      <w:sz w:val="18"/>
      <w:szCs w:val="18"/>
    </w:rPr>
  </w:style>
  <w:style w:type="character" w:customStyle="1" w:styleId="apple-converted-space">
    <w:name w:val="apple-converted-space"/>
    <w:basedOn w:val="DefaultParagraphFont"/>
    <w:rsid w:val="00FB0406"/>
  </w:style>
  <w:style w:type="character" w:customStyle="1" w:styleId="doilabel">
    <w:name w:val="doi__label"/>
    <w:basedOn w:val="DefaultParagraphFont"/>
    <w:rsid w:val="00877595"/>
  </w:style>
  <w:style w:type="paragraph" w:styleId="FootnoteText">
    <w:name w:val="footnote text"/>
    <w:aliases w:val="Знак Знак Знак Знак Знак Знак Знак Знак Знак,Знак Знак Знак Знак Знак Знак,Текст сноски Знак1 Знак,Текст сноски Знак Знак Знак,Текст сноски Знак1 Знак Знак Знак,Текст сноски Знак Знак Знак Знак Знак,????? ?????? ????"/>
    <w:basedOn w:val="Normal"/>
    <w:link w:val="FootnoteTextChar"/>
    <w:unhideWhenUsed/>
    <w:qFormat/>
    <w:rsid w:val="00D62695"/>
    <w:pPr>
      <w:spacing w:after="0" w:line="240" w:lineRule="auto"/>
    </w:pPr>
    <w:rPr>
      <w:sz w:val="20"/>
      <w:szCs w:val="20"/>
    </w:rPr>
  </w:style>
  <w:style w:type="character" w:customStyle="1" w:styleId="FootnoteTextChar">
    <w:name w:val="Footnote Text Char"/>
    <w:aliases w:val="Знак Знак Знак Знак Знак Знак Знак Знак Знак Char,Знак Знак Знак Знак Знак Знак Char,Текст сноски Знак1 Знак Char,Текст сноски Знак Знак Знак Char,Текст сноски Знак1 Знак Знак Знак Char,Текст сноски Знак Знак Знак Знак Знак Char"/>
    <w:basedOn w:val="DefaultParagraphFont"/>
    <w:link w:val="FootnoteText"/>
    <w:rsid w:val="00D62695"/>
    <w:rPr>
      <w:sz w:val="20"/>
      <w:szCs w:val="20"/>
    </w:rPr>
  </w:style>
  <w:style w:type="character" w:styleId="FootnoteReference">
    <w:name w:val="footnote reference"/>
    <w:basedOn w:val="DefaultParagraphFont"/>
    <w:uiPriority w:val="99"/>
    <w:unhideWhenUsed/>
    <w:rsid w:val="00D62695"/>
    <w:rPr>
      <w:vertAlign w:val="superscript"/>
    </w:rPr>
  </w:style>
  <w:style w:type="table" w:customStyle="1" w:styleId="ListTable6Colorful1">
    <w:name w:val="List Table 6 Colorful1"/>
    <w:basedOn w:val="TableNormal"/>
    <w:uiPriority w:val="51"/>
    <w:rsid w:val="00831F84"/>
    <w:pPr>
      <w:bidi/>
      <w:spacing w:before="100" w:beforeAutospacing="1" w:after="0" w:afterAutospacing="1" w:line="240" w:lineRule="auto"/>
      <w:ind w:right="-446"/>
      <w:jc w:val="both"/>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354DC3"/>
    <w:pPr>
      <w:bidi/>
      <w:spacing w:beforeAutospacing="1" w:after="0" w:afterAutospacing="1" w:line="240" w:lineRule="auto"/>
      <w:ind w:right="-446"/>
      <w:jc w:val="both"/>
    </w:pPr>
    <w:rPr>
      <w:lang w:bidi="fa-IR"/>
    </w:rPr>
  </w:style>
  <w:style w:type="character" w:styleId="Emphasis">
    <w:name w:val="Emphasis"/>
    <w:basedOn w:val="DefaultParagraphFont"/>
    <w:uiPriority w:val="20"/>
    <w:qFormat/>
    <w:rsid w:val="00354DC3"/>
    <w:rPr>
      <w:i/>
      <w:iCs/>
    </w:rPr>
  </w:style>
  <w:style w:type="character" w:customStyle="1" w:styleId="identifier">
    <w:name w:val="identifier"/>
    <w:basedOn w:val="DefaultParagraphFont"/>
    <w:rsid w:val="004B1978"/>
  </w:style>
  <w:style w:type="character" w:customStyle="1" w:styleId="id-label">
    <w:name w:val="id-label"/>
    <w:basedOn w:val="DefaultParagraphFont"/>
    <w:rsid w:val="004B1978"/>
  </w:style>
  <w:style w:type="character" w:customStyle="1" w:styleId="label">
    <w:name w:val="label"/>
    <w:basedOn w:val="DefaultParagraphFont"/>
    <w:rsid w:val="00367B88"/>
  </w:style>
  <w:style w:type="character" w:customStyle="1" w:styleId="value">
    <w:name w:val="value"/>
    <w:basedOn w:val="DefaultParagraphFont"/>
    <w:rsid w:val="00367B88"/>
  </w:style>
  <w:style w:type="table" w:customStyle="1" w:styleId="PlainTable211">
    <w:name w:val="Plain Table 211"/>
    <w:basedOn w:val="TableNormal"/>
    <w:uiPriority w:val="42"/>
    <w:rsid w:val="00F962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9551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5E7588"/>
    <w:rPr>
      <w:color w:val="605E5C"/>
      <w:shd w:val="clear" w:color="auto" w:fill="E1DFDD"/>
    </w:rPr>
  </w:style>
  <w:style w:type="paragraph" w:customStyle="1" w:styleId="Els-Author">
    <w:name w:val="Els-Author"/>
    <w:next w:val="Normal"/>
    <w:rsid w:val="00C336E1"/>
    <w:pPr>
      <w:keepNext/>
      <w:suppressAutoHyphens/>
      <w:spacing w:line="300" w:lineRule="exact"/>
      <w:ind w:left="720" w:right="-14"/>
      <w:jc w:val="center"/>
    </w:pPr>
    <w:rPr>
      <w:rFonts w:ascii="Times New Roman" w:eastAsia="Times New Roman" w:hAnsi="Times New Roman" w:cs="Times New Roman"/>
      <w:noProof/>
      <w:sz w:val="26"/>
      <w:szCs w:val="20"/>
    </w:rPr>
  </w:style>
  <w:style w:type="character" w:customStyle="1" w:styleId="UnresolvedMention3">
    <w:name w:val="Unresolved Mention3"/>
    <w:basedOn w:val="DefaultParagraphFont"/>
    <w:uiPriority w:val="99"/>
    <w:semiHidden/>
    <w:unhideWhenUsed/>
    <w:rsid w:val="00F37D45"/>
    <w:rPr>
      <w:color w:val="605E5C"/>
      <w:shd w:val="clear" w:color="auto" w:fill="E1DFDD"/>
    </w:rPr>
  </w:style>
  <w:style w:type="table" w:customStyle="1" w:styleId="PlainTable22">
    <w:name w:val="Plain Table 22"/>
    <w:basedOn w:val="TableNormal"/>
    <w:uiPriority w:val="42"/>
    <w:rsid w:val="00CE13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4">
    <w:name w:val="Unresolved Mention4"/>
    <w:basedOn w:val="DefaultParagraphFont"/>
    <w:uiPriority w:val="99"/>
    <w:semiHidden/>
    <w:unhideWhenUsed/>
    <w:rsid w:val="00D066B7"/>
    <w:rPr>
      <w:color w:val="605E5C"/>
      <w:shd w:val="clear" w:color="auto" w:fill="E1DFDD"/>
    </w:rPr>
  </w:style>
  <w:style w:type="table" w:customStyle="1" w:styleId="PlainTable23">
    <w:name w:val="Plain Table 23"/>
    <w:basedOn w:val="TableNormal"/>
    <w:uiPriority w:val="42"/>
    <w:rsid w:val="0093410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aptionforTable">
    <w:name w:val="Caption for Table"/>
    <w:basedOn w:val="Normal"/>
    <w:autoRedefine/>
    <w:uiPriority w:val="13"/>
    <w:qFormat/>
    <w:rsid w:val="00934106"/>
    <w:pPr>
      <w:spacing w:after="0" w:line="240" w:lineRule="auto"/>
      <w:jc w:val="center"/>
    </w:pPr>
    <w:rPr>
      <w:rFonts w:ascii="Times New Roman" w:hAnsi="Times New Roman"/>
    </w:rPr>
  </w:style>
  <w:style w:type="table" w:customStyle="1" w:styleId="Barevntabulkaseznamu61">
    <w:name w:val="Barevná tabulka seznamu 61"/>
    <w:basedOn w:val="TableNormal"/>
    <w:uiPriority w:val="51"/>
    <w:rsid w:val="000854E4"/>
    <w:pPr>
      <w:spacing w:after="0" w:line="240" w:lineRule="auto"/>
    </w:pPr>
    <w:rPr>
      <w:rFonts w:ascii="Calibri" w:eastAsia="Calibri" w:hAnsi="Calibri" w:cs="Times New Roman"/>
      <w:color w:val="000000"/>
      <w:sz w:val="20"/>
      <w:szCs w:val="20"/>
      <w:lang w:eastAsia="uk-UA"/>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uiPriority w:val="51"/>
    <w:rsid w:val="000854E4"/>
    <w:pPr>
      <w:spacing w:after="0" w:line="240" w:lineRule="auto"/>
    </w:pPr>
    <w:rPr>
      <w:rFonts w:ascii="Calibri" w:eastAsia="Calibri" w:hAnsi="Calibri" w:cs="Times New Roman"/>
      <w:color w:val="000000"/>
      <w:sz w:val="20"/>
      <w:szCs w:val="20"/>
      <w:lang w:eastAsia="uk-UA"/>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NormalWeb">
    <w:name w:val="Normal (Web)"/>
    <w:aliases w:val="Обычный (Web)"/>
    <w:basedOn w:val="Normal"/>
    <w:unhideWhenUsed/>
    <w:rsid w:val="000854E4"/>
    <w:pPr>
      <w:spacing w:before="100" w:beforeAutospacing="1" w:after="100" w:afterAutospacing="1" w:line="240" w:lineRule="auto"/>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0854E4"/>
    <w:pPr>
      <w:spacing w:after="0" w:line="240" w:lineRule="auto"/>
    </w:pPr>
    <w:rPr>
      <w:rFonts w:ascii="Times New Roman" w:eastAsia="Calibri" w:hAnsi="Times New Roman" w:cs="Times New Roman"/>
      <w:sz w:val="24"/>
      <w:szCs w:val="24"/>
      <w:lang w:val="cs-CZ"/>
    </w:rPr>
  </w:style>
  <w:style w:type="character" w:customStyle="1" w:styleId="DocumentMapChar">
    <w:name w:val="Document Map Char"/>
    <w:basedOn w:val="DefaultParagraphFont"/>
    <w:link w:val="DocumentMap"/>
    <w:uiPriority w:val="99"/>
    <w:semiHidden/>
    <w:rsid w:val="000854E4"/>
    <w:rPr>
      <w:rFonts w:ascii="Times New Roman" w:eastAsia="Calibri" w:hAnsi="Times New Roman" w:cs="Times New Roman"/>
      <w:sz w:val="24"/>
      <w:szCs w:val="24"/>
      <w:lang w:val="cs-CZ"/>
    </w:rPr>
  </w:style>
  <w:style w:type="paragraph" w:styleId="CommentSubject">
    <w:name w:val="annotation subject"/>
    <w:basedOn w:val="CommentText"/>
    <w:next w:val="CommentText"/>
    <w:link w:val="CommentSubjectChar"/>
    <w:uiPriority w:val="99"/>
    <w:semiHidden/>
    <w:unhideWhenUsed/>
    <w:rsid w:val="000854E4"/>
    <w:pPr>
      <w:spacing w:after="160"/>
    </w:pPr>
    <w:rPr>
      <w:rFonts w:ascii="Garamond" w:eastAsia="Calibri" w:hAnsi="Garamond" w:cs="Times New Roman"/>
      <w:b/>
      <w:bCs/>
      <w:lang w:val="cs-CZ"/>
    </w:rPr>
  </w:style>
  <w:style w:type="character" w:customStyle="1" w:styleId="CommentSubjectChar">
    <w:name w:val="Comment Subject Char"/>
    <w:basedOn w:val="CommentTextChar"/>
    <w:link w:val="CommentSubject"/>
    <w:uiPriority w:val="99"/>
    <w:semiHidden/>
    <w:rsid w:val="000854E4"/>
    <w:rPr>
      <w:rFonts w:ascii="Garamond" w:eastAsia="Calibri" w:hAnsi="Garamond" w:cs="Times New Roman"/>
      <w:b/>
      <w:bCs/>
      <w:sz w:val="20"/>
      <w:szCs w:val="20"/>
      <w:lang w:val="cs-CZ"/>
    </w:rPr>
  </w:style>
  <w:style w:type="paragraph" w:customStyle="1" w:styleId="002Authors">
    <w:name w:val="002_Authors"/>
    <w:basedOn w:val="Normal"/>
    <w:qFormat/>
    <w:rsid w:val="000854E4"/>
    <w:pPr>
      <w:spacing w:after="0" w:line="240" w:lineRule="auto"/>
      <w:ind w:firstLine="425"/>
      <w:jc w:val="both"/>
    </w:pPr>
    <w:rPr>
      <w:rFonts w:ascii="Garamond" w:eastAsia="Calibri" w:hAnsi="Garamond" w:cs="Times New Roman"/>
      <w:b/>
    </w:rPr>
  </w:style>
  <w:style w:type="paragraph" w:customStyle="1" w:styleId="003Affilation">
    <w:name w:val="003_Affilation"/>
    <w:basedOn w:val="Normal"/>
    <w:qFormat/>
    <w:rsid w:val="000854E4"/>
    <w:pPr>
      <w:spacing w:after="0" w:line="240" w:lineRule="auto"/>
      <w:ind w:left="420" w:right="62"/>
    </w:pPr>
    <w:rPr>
      <w:rFonts w:ascii="Garamond" w:eastAsia="Calibri" w:hAnsi="Garamond" w:cs="Times New Roman"/>
      <w:i/>
    </w:rPr>
  </w:style>
  <w:style w:type="paragraph" w:customStyle="1" w:styleId="004Abstract">
    <w:name w:val="004_Abstract"/>
    <w:basedOn w:val="Normal"/>
    <w:qFormat/>
    <w:rsid w:val="000854E4"/>
    <w:pPr>
      <w:spacing w:before="120" w:after="0" w:line="240" w:lineRule="auto"/>
      <w:ind w:left="425" w:hanging="425"/>
      <w:jc w:val="both"/>
    </w:pPr>
    <w:rPr>
      <w:rFonts w:ascii="Garamond" w:eastAsia="Calibri" w:hAnsi="Garamond" w:cs="Times New Roman"/>
      <w:lang w:val="en-GB"/>
    </w:rPr>
  </w:style>
  <w:style w:type="paragraph" w:customStyle="1" w:styleId="005ChapterHigh">
    <w:name w:val="005_Chapter_High"/>
    <w:basedOn w:val="Heading2"/>
    <w:autoRedefine/>
    <w:qFormat/>
    <w:rsid w:val="00776F87"/>
    <w:pPr>
      <w:keepLines/>
      <w:numPr>
        <w:ilvl w:val="0"/>
        <w:numId w:val="0"/>
      </w:numPr>
      <w:tabs>
        <w:tab w:val="clear" w:pos="432"/>
      </w:tabs>
      <w:spacing w:before="0" w:after="0"/>
      <w:ind w:left="284" w:right="0" w:hanging="284"/>
      <w:jc w:val="both"/>
    </w:pPr>
    <w:rPr>
      <w:rFonts w:eastAsia="Times New Roman"/>
      <w:i w:val="0"/>
      <w:sz w:val="22"/>
      <w:szCs w:val="22"/>
    </w:rPr>
  </w:style>
  <w:style w:type="paragraph" w:customStyle="1" w:styleId="005ChapterLow">
    <w:name w:val="005_Chapter_Low"/>
    <w:basedOn w:val="005ChapterHigh"/>
    <w:next w:val="Normal"/>
    <w:qFormat/>
    <w:rsid w:val="000854E4"/>
    <w:pPr>
      <w:ind w:firstLine="425"/>
    </w:pPr>
    <w:rPr>
      <w:caps/>
    </w:rPr>
  </w:style>
  <w:style w:type="paragraph" w:customStyle="1" w:styleId="001Title">
    <w:name w:val="001_Title"/>
    <w:basedOn w:val="Normal"/>
    <w:qFormat/>
    <w:rsid w:val="000854E4"/>
    <w:pPr>
      <w:spacing w:after="0" w:line="240" w:lineRule="auto"/>
    </w:pPr>
    <w:rPr>
      <w:rFonts w:ascii="Adobe Garamond Pro" w:eastAsia="Calibri" w:hAnsi="Adobe Garamond Pro" w:cs="Calibri"/>
      <w:b/>
      <w:w w:val="80"/>
      <w:sz w:val="32"/>
      <w:lang w:val="uk-UA"/>
    </w:rPr>
  </w:style>
  <w:style w:type="paragraph" w:customStyle="1" w:styleId="TableText">
    <w:name w:val="Table Text"/>
    <w:rsid w:val="000854E4"/>
    <w:pPr>
      <w:autoSpaceDE w:val="0"/>
      <w:autoSpaceDN w:val="0"/>
      <w:adjustRightInd w:val="0"/>
      <w:spacing w:after="0" w:line="240" w:lineRule="auto"/>
    </w:pPr>
    <w:rPr>
      <w:rFonts w:ascii="Times New Roman" w:eastAsia="Calibri" w:hAnsi="Times New Roman" w:cs="Times New Roman"/>
      <w:color w:val="000000"/>
      <w:sz w:val="20"/>
      <w:szCs w:val="24"/>
    </w:rPr>
  </w:style>
  <w:style w:type="paragraph" w:customStyle="1" w:styleId="Title1">
    <w:name w:val="Title1"/>
    <w:next w:val="Author"/>
    <w:qFormat/>
    <w:rsid w:val="000854E4"/>
    <w:pPr>
      <w:pageBreakBefore/>
      <w:spacing w:before="240" w:after="240" w:line="240" w:lineRule="auto"/>
      <w:jc w:val="center"/>
    </w:pPr>
    <w:rPr>
      <w:rFonts w:ascii="Times New Roman" w:eastAsia="Calibri" w:hAnsi="Times New Roman" w:cs="Times New Roman"/>
      <w:b/>
      <w:caps/>
      <w:color w:val="000000"/>
      <w:sz w:val="28"/>
      <w:szCs w:val="24"/>
    </w:rPr>
  </w:style>
  <w:style w:type="paragraph" w:customStyle="1" w:styleId="Author">
    <w:name w:val="Author"/>
    <w:basedOn w:val="Normal"/>
    <w:next w:val="Abstract"/>
    <w:uiPriority w:val="99"/>
    <w:rsid w:val="000854E4"/>
    <w:pPr>
      <w:autoSpaceDE w:val="0"/>
      <w:autoSpaceDN w:val="0"/>
      <w:adjustRightInd w:val="0"/>
      <w:spacing w:after="240" w:line="240" w:lineRule="auto"/>
      <w:jc w:val="center"/>
    </w:pPr>
    <w:rPr>
      <w:rFonts w:ascii="Times New Roman" w:eastAsia="Calibri" w:hAnsi="Times New Roman" w:cs="Times New Roman"/>
      <w:i/>
      <w:iCs/>
      <w:color w:val="000000"/>
      <w:sz w:val="24"/>
      <w:szCs w:val="23"/>
    </w:rPr>
  </w:style>
  <w:style w:type="paragraph" w:customStyle="1" w:styleId="Abstract">
    <w:name w:val="Abstract"/>
    <w:basedOn w:val="TableText"/>
    <w:next w:val="TableText"/>
    <w:qFormat/>
    <w:rsid w:val="000854E4"/>
    <w:pPr>
      <w:jc w:val="both"/>
    </w:pPr>
    <w:rPr>
      <w:bCs/>
      <w:i/>
      <w:iCs/>
      <w:sz w:val="22"/>
      <w:szCs w:val="22"/>
    </w:rPr>
  </w:style>
  <w:style w:type="paragraph" w:customStyle="1" w:styleId="SectionHeading">
    <w:name w:val="Section Heading"/>
    <w:basedOn w:val="Normal"/>
    <w:next w:val="Normal"/>
    <w:rsid w:val="000854E4"/>
    <w:pPr>
      <w:keepNext/>
      <w:keepLines/>
      <w:autoSpaceDE w:val="0"/>
      <w:autoSpaceDN w:val="0"/>
      <w:adjustRightInd w:val="0"/>
      <w:spacing w:before="240" w:after="240" w:line="240" w:lineRule="auto"/>
      <w:jc w:val="center"/>
    </w:pPr>
    <w:rPr>
      <w:rFonts w:ascii="Times New Roman" w:eastAsia="Calibri" w:hAnsi="Times New Roman" w:cs="Times New Roman"/>
      <w:b/>
      <w:caps/>
      <w:sz w:val="24"/>
    </w:rPr>
  </w:style>
  <w:style w:type="paragraph" w:customStyle="1" w:styleId="Bullets">
    <w:name w:val="Bullets"/>
    <w:basedOn w:val="Normal"/>
    <w:next w:val="TableText"/>
    <w:uiPriority w:val="99"/>
    <w:rsid w:val="000854E4"/>
    <w:pPr>
      <w:numPr>
        <w:numId w:val="2"/>
      </w:numPr>
      <w:autoSpaceDE w:val="0"/>
      <w:autoSpaceDN w:val="0"/>
      <w:adjustRightInd w:val="0"/>
      <w:spacing w:after="0" w:line="240" w:lineRule="auto"/>
      <w:ind w:left="714" w:hanging="357"/>
      <w:contextualSpacing/>
    </w:pPr>
    <w:rPr>
      <w:rFonts w:ascii="Times New Roman" w:eastAsia="Calibri" w:hAnsi="Times New Roman" w:cs="Times New Roman"/>
      <w:color w:val="000000"/>
    </w:rPr>
  </w:style>
  <w:style w:type="paragraph" w:customStyle="1" w:styleId="SubHeadings">
    <w:name w:val="Sub Headings"/>
    <w:basedOn w:val="Normal"/>
    <w:next w:val="Normal"/>
    <w:uiPriority w:val="99"/>
    <w:rsid w:val="000854E4"/>
    <w:pPr>
      <w:keepNext/>
      <w:keepLines/>
      <w:autoSpaceDE w:val="0"/>
      <w:autoSpaceDN w:val="0"/>
      <w:adjustRightInd w:val="0"/>
      <w:spacing w:before="120" w:after="120" w:line="240" w:lineRule="auto"/>
      <w:jc w:val="center"/>
    </w:pPr>
    <w:rPr>
      <w:rFonts w:ascii="Times New Roman" w:eastAsia="Calibri" w:hAnsi="Times New Roman" w:cs="Times New Roman"/>
      <w:b/>
      <w:bCs/>
      <w:color w:val="000000"/>
    </w:rPr>
  </w:style>
  <w:style w:type="paragraph" w:customStyle="1" w:styleId="Equation">
    <w:name w:val="Equation"/>
    <w:next w:val="Normal"/>
    <w:rsid w:val="000854E4"/>
    <w:pPr>
      <w:widowControl w:val="0"/>
      <w:tabs>
        <w:tab w:val="right" w:pos="9639"/>
      </w:tabs>
      <w:spacing w:after="0" w:line="240" w:lineRule="auto"/>
    </w:pPr>
    <w:rPr>
      <w:rFonts w:ascii="Times New Roman" w:eastAsia="Calibri" w:hAnsi="Times New Roman" w:cs="Times New Roman"/>
      <w:iCs/>
      <w:color w:val="000000"/>
    </w:rPr>
  </w:style>
  <w:style w:type="paragraph" w:customStyle="1" w:styleId="References">
    <w:name w:val="References"/>
    <w:basedOn w:val="Normal"/>
    <w:qFormat/>
    <w:rsid w:val="000854E4"/>
    <w:pPr>
      <w:numPr>
        <w:numId w:val="3"/>
      </w:numPr>
      <w:autoSpaceDE w:val="0"/>
      <w:autoSpaceDN w:val="0"/>
      <w:adjustRightInd w:val="0"/>
      <w:spacing w:after="0" w:line="240" w:lineRule="auto"/>
      <w:ind w:left="357" w:hanging="357"/>
      <w:jc w:val="both"/>
    </w:pPr>
    <w:rPr>
      <w:rFonts w:ascii="Times New Roman" w:eastAsia="Calibri" w:hAnsi="Times New Roman" w:cs="Times New Roman"/>
      <w:color w:val="000000"/>
      <w:sz w:val="20"/>
    </w:rPr>
  </w:style>
  <w:style w:type="paragraph" w:customStyle="1" w:styleId="PaperTitle">
    <w:name w:val="PaperTitle"/>
    <w:basedOn w:val="Heading1"/>
    <w:next w:val="Author"/>
    <w:rsid w:val="000854E4"/>
    <w:pPr>
      <w:numPr>
        <w:numId w:val="0"/>
      </w:numPr>
      <w:tabs>
        <w:tab w:val="clear" w:pos="288"/>
      </w:tabs>
      <w:suppressAutoHyphens w:val="0"/>
      <w:spacing w:after="240"/>
      <w:ind w:right="0"/>
      <w:jc w:val="center"/>
    </w:pPr>
    <w:rPr>
      <w:rFonts w:eastAsia="Times New Roman"/>
      <w:bCs/>
      <w:caps/>
      <w:kern w:val="0"/>
      <w:sz w:val="28"/>
      <w:szCs w:val="28"/>
      <w:lang w:eastAsia="pt-BR"/>
    </w:rPr>
  </w:style>
  <w:style w:type="paragraph" w:customStyle="1" w:styleId="Normln1">
    <w:name w:val="Normální1"/>
    <w:rsid w:val="000854E4"/>
    <w:pPr>
      <w:spacing w:after="0" w:line="276" w:lineRule="auto"/>
    </w:pPr>
    <w:rPr>
      <w:rFonts w:ascii="Arial" w:eastAsia="Arial" w:hAnsi="Arial" w:cs="Arial"/>
      <w:color w:val="000000"/>
      <w:szCs w:val="20"/>
      <w:lang w:val="cs-CZ" w:eastAsia="cs-CZ"/>
    </w:rPr>
  </w:style>
  <w:style w:type="character" w:customStyle="1" w:styleId="hps">
    <w:name w:val="hps"/>
    <w:basedOn w:val="DefaultParagraphFont"/>
    <w:rsid w:val="000854E4"/>
  </w:style>
  <w:style w:type="character" w:customStyle="1" w:styleId="shorttext">
    <w:name w:val="short_text"/>
    <w:basedOn w:val="DefaultParagraphFont"/>
    <w:rsid w:val="000854E4"/>
  </w:style>
  <w:style w:type="paragraph" w:customStyle="1" w:styleId="Nzevspolenosti">
    <w:name w:val="Název společnosti"/>
    <w:aliases w:val="email"/>
    <w:basedOn w:val="Normal"/>
    <w:next w:val="Normal"/>
    <w:autoRedefine/>
    <w:qFormat/>
    <w:rsid w:val="000854E4"/>
    <w:pPr>
      <w:spacing w:after="0" w:line="240" w:lineRule="auto"/>
    </w:pPr>
    <w:rPr>
      <w:rFonts w:ascii="Times New Roman" w:eastAsia="Times New Roman" w:hAnsi="Times New Roman" w:cs="Times New Roman"/>
      <w:i/>
      <w:color w:val="000000"/>
      <w:sz w:val="18"/>
      <w:szCs w:val="18"/>
      <w:lang w:val="cs-CZ" w:eastAsia="cs-CZ"/>
    </w:rPr>
  </w:style>
  <w:style w:type="character" w:customStyle="1" w:styleId="st1">
    <w:name w:val="st1"/>
    <w:basedOn w:val="DefaultParagraphFont"/>
    <w:rsid w:val="000854E4"/>
  </w:style>
  <w:style w:type="paragraph" w:customStyle="1" w:styleId="frfield">
    <w:name w:val="fr_field"/>
    <w:basedOn w:val="Normal"/>
    <w:rsid w:val="000854E4"/>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Normln2">
    <w:name w:val="Normální2"/>
    <w:rsid w:val="000854E4"/>
    <w:pPr>
      <w:spacing w:after="0" w:line="276" w:lineRule="auto"/>
    </w:pPr>
    <w:rPr>
      <w:rFonts w:ascii="Arial" w:eastAsia="Arial" w:hAnsi="Arial" w:cs="Arial"/>
      <w:color w:val="000000"/>
      <w:szCs w:val="20"/>
      <w:lang w:val="cs-CZ" w:eastAsia="cs-CZ"/>
    </w:rPr>
  </w:style>
  <w:style w:type="character" w:customStyle="1" w:styleId="alt-edited1">
    <w:name w:val="alt-edited1"/>
    <w:rsid w:val="000854E4"/>
    <w:rPr>
      <w:color w:val="4D90F0"/>
    </w:rPr>
  </w:style>
  <w:style w:type="character" w:customStyle="1" w:styleId="scopustermhighlight">
    <w:name w:val="scopustermhighlight"/>
    <w:basedOn w:val="DefaultParagraphFont"/>
    <w:rsid w:val="000854E4"/>
  </w:style>
  <w:style w:type="character" w:customStyle="1" w:styleId="paddingr15">
    <w:name w:val="paddingr15"/>
    <w:basedOn w:val="DefaultParagraphFont"/>
    <w:rsid w:val="000854E4"/>
  </w:style>
  <w:style w:type="character" w:customStyle="1" w:styleId="hithilite">
    <w:name w:val="hithilite"/>
    <w:basedOn w:val="DefaultParagraphFont"/>
    <w:rsid w:val="000854E4"/>
  </w:style>
  <w:style w:type="paragraph" w:customStyle="1" w:styleId="Classification">
    <w:name w:val="Classification"/>
    <w:basedOn w:val="BodyText"/>
    <w:next w:val="Normal"/>
    <w:qFormat/>
    <w:rsid w:val="000854E4"/>
    <w:pPr>
      <w:autoSpaceDE/>
      <w:autoSpaceDN/>
      <w:adjustRightInd/>
      <w:spacing w:before="240" w:after="0"/>
      <w:ind w:left="425" w:right="425"/>
    </w:pPr>
    <w:rPr>
      <w:b/>
      <w:color w:val="auto"/>
      <w:sz w:val="20"/>
      <w:lang w:val="en-GB"/>
    </w:rPr>
  </w:style>
  <w:style w:type="paragraph" w:styleId="BodyText">
    <w:name w:val="Body Text"/>
    <w:basedOn w:val="Normal"/>
    <w:link w:val="BodyTextChar"/>
    <w:semiHidden/>
    <w:unhideWhenUsed/>
    <w:rsid w:val="000854E4"/>
    <w:pPr>
      <w:autoSpaceDE w:val="0"/>
      <w:autoSpaceDN w:val="0"/>
      <w:adjustRightInd w:val="0"/>
      <w:spacing w:after="120" w:line="240" w:lineRule="auto"/>
      <w:jc w:val="both"/>
    </w:pPr>
    <w:rPr>
      <w:rFonts w:ascii="Times New Roman" w:eastAsia="Calibri" w:hAnsi="Times New Roman" w:cs="Times New Roman"/>
      <w:color w:val="000000"/>
    </w:rPr>
  </w:style>
  <w:style w:type="character" w:customStyle="1" w:styleId="BodyTextChar">
    <w:name w:val="Body Text Char"/>
    <w:basedOn w:val="DefaultParagraphFont"/>
    <w:link w:val="BodyText"/>
    <w:semiHidden/>
    <w:rsid w:val="000854E4"/>
    <w:rPr>
      <w:rFonts w:ascii="Times New Roman" w:eastAsia="Calibri" w:hAnsi="Times New Roman" w:cs="Times New Roman"/>
      <w:color w:val="000000"/>
    </w:rPr>
  </w:style>
  <w:style w:type="character" w:customStyle="1" w:styleId="italic">
    <w:name w:val="italic"/>
    <w:basedOn w:val="DefaultParagraphFont"/>
    <w:rsid w:val="000854E4"/>
  </w:style>
  <w:style w:type="character" w:customStyle="1" w:styleId="slug-pub-date">
    <w:name w:val="slug-pub-date"/>
    <w:basedOn w:val="DefaultParagraphFont"/>
    <w:rsid w:val="000854E4"/>
  </w:style>
  <w:style w:type="character" w:customStyle="1" w:styleId="slug-vol">
    <w:name w:val="slug-vol"/>
    <w:basedOn w:val="DefaultParagraphFont"/>
    <w:rsid w:val="000854E4"/>
  </w:style>
  <w:style w:type="character" w:customStyle="1" w:styleId="slug-issue">
    <w:name w:val="slug-issue"/>
    <w:basedOn w:val="DefaultParagraphFont"/>
    <w:rsid w:val="000854E4"/>
  </w:style>
  <w:style w:type="character" w:customStyle="1" w:styleId="slug-pages">
    <w:name w:val="slug-pages"/>
    <w:basedOn w:val="DefaultParagraphFont"/>
    <w:rsid w:val="000854E4"/>
  </w:style>
  <w:style w:type="character" w:customStyle="1" w:styleId="slug-doi">
    <w:name w:val="slug-doi"/>
    <w:basedOn w:val="DefaultParagraphFont"/>
    <w:rsid w:val="000854E4"/>
  </w:style>
  <w:style w:type="character" w:customStyle="1" w:styleId="leaf">
    <w:name w:val="leaf"/>
    <w:rsid w:val="000854E4"/>
  </w:style>
  <w:style w:type="paragraph" w:customStyle="1" w:styleId="Numbered">
    <w:name w:val="Numbered"/>
    <w:rsid w:val="000854E4"/>
    <w:pPr>
      <w:numPr>
        <w:numId w:val="4"/>
      </w:numPr>
      <w:spacing w:before="240" w:after="240" w:line="240" w:lineRule="auto"/>
      <w:jc w:val="both"/>
    </w:pPr>
    <w:rPr>
      <w:rFonts w:ascii="Times New Roman" w:eastAsia="Times New Roman" w:hAnsi="Times New Roman" w:cs="Times New Roman"/>
      <w:szCs w:val="20"/>
    </w:rPr>
  </w:style>
  <w:style w:type="character" w:customStyle="1" w:styleId="1">
    <w:name w:val="Назва1"/>
    <w:rsid w:val="000854E4"/>
  </w:style>
  <w:style w:type="character" w:customStyle="1" w:styleId="leftside">
    <w:name w:val="left_side"/>
    <w:rsid w:val="000854E4"/>
  </w:style>
  <w:style w:type="paragraph" w:styleId="TOC1">
    <w:name w:val="toc 1"/>
    <w:basedOn w:val="Normal"/>
    <w:next w:val="Normal"/>
    <w:autoRedefine/>
    <w:uiPriority w:val="39"/>
    <w:unhideWhenUsed/>
    <w:qFormat/>
    <w:rsid w:val="000854E4"/>
    <w:pPr>
      <w:spacing w:after="0" w:line="360" w:lineRule="auto"/>
      <w:ind w:firstLine="709"/>
      <w:jc w:val="both"/>
    </w:pPr>
    <w:rPr>
      <w:rFonts w:ascii="Times New Roman" w:eastAsia="Calibri" w:hAnsi="Times New Roman" w:cs="Times New Roman"/>
      <w:sz w:val="28"/>
      <w:szCs w:val="28"/>
      <w:lang w:val="ru-RU"/>
    </w:rPr>
  </w:style>
  <w:style w:type="character" w:customStyle="1" w:styleId="txt">
    <w:name w:val="txt"/>
    <w:rsid w:val="000854E4"/>
  </w:style>
  <w:style w:type="character" w:customStyle="1" w:styleId="txtbold">
    <w:name w:val="txtbold"/>
    <w:rsid w:val="000854E4"/>
  </w:style>
  <w:style w:type="character" w:customStyle="1" w:styleId="bigtext">
    <w:name w:val="bigtext"/>
    <w:basedOn w:val="DefaultParagraphFont"/>
    <w:rsid w:val="000854E4"/>
  </w:style>
  <w:style w:type="paragraph" w:styleId="Title">
    <w:name w:val="Title"/>
    <w:basedOn w:val="Normal"/>
    <w:next w:val="Normal"/>
    <w:link w:val="TitleChar"/>
    <w:uiPriority w:val="10"/>
    <w:qFormat/>
    <w:rsid w:val="000854E4"/>
    <w:pPr>
      <w:pBdr>
        <w:bottom w:val="single" w:sz="8" w:space="4" w:color="5B9BD5"/>
      </w:pBdr>
      <w:spacing w:after="120" w:line="277" w:lineRule="auto"/>
      <w:contextualSpacing/>
      <w:jc w:val="center"/>
    </w:pPr>
    <w:rPr>
      <w:rFonts w:ascii="Calibri Light" w:eastAsia="Times New Roman" w:hAnsi="Calibri Light" w:cs="Times New Roman"/>
      <w:color w:val="000000"/>
      <w:spacing w:val="5"/>
      <w:kern w:val="28"/>
      <w:sz w:val="20"/>
      <w:szCs w:val="52"/>
      <w:lang w:val="en-GB"/>
    </w:rPr>
  </w:style>
  <w:style w:type="character" w:customStyle="1" w:styleId="TitleChar">
    <w:name w:val="Title Char"/>
    <w:basedOn w:val="DefaultParagraphFont"/>
    <w:link w:val="Title"/>
    <w:uiPriority w:val="10"/>
    <w:rsid w:val="000854E4"/>
    <w:rPr>
      <w:rFonts w:ascii="Calibri Light" w:eastAsia="Times New Roman" w:hAnsi="Calibri Light" w:cs="Times New Roman"/>
      <w:color w:val="000000"/>
      <w:spacing w:val="5"/>
      <w:kern w:val="28"/>
      <w:sz w:val="20"/>
      <w:szCs w:val="52"/>
      <w:lang w:val="en-GB"/>
    </w:rPr>
  </w:style>
  <w:style w:type="paragraph" w:styleId="Subtitle">
    <w:name w:val="Subtitle"/>
    <w:basedOn w:val="Normal"/>
    <w:next w:val="Normal"/>
    <w:link w:val="SubtitleChar"/>
    <w:uiPriority w:val="11"/>
    <w:qFormat/>
    <w:rsid w:val="000854E4"/>
    <w:pPr>
      <w:numPr>
        <w:ilvl w:val="1"/>
      </w:numPr>
      <w:spacing w:after="0" w:line="240" w:lineRule="auto"/>
      <w:jc w:val="center"/>
    </w:pPr>
    <w:rPr>
      <w:rFonts w:ascii="Times New Roman" w:eastAsia="Times New Roman" w:hAnsi="Times New Roman" w:cs="Times New Roman"/>
      <w:iCs/>
      <w:color w:val="000000"/>
      <w:sz w:val="18"/>
      <w:szCs w:val="24"/>
      <w:lang w:val="en-GB"/>
    </w:rPr>
  </w:style>
  <w:style w:type="character" w:customStyle="1" w:styleId="SubtitleChar">
    <w:name w:val="Subtitle Char"/>
    <w:basedOn w:val="DefaultParagraphFont"/>
    <w:link w:val="Subtitle"/>
    <w:uiPriority w:val="11"/>
    <w:rsid w:val="000854E4"/>
    <w:rPr>
      <w:rFonts w:ascii="Times New Roman" w:eastAsia="Times New Roman" w:hAnsi="Times New Roman" w:cs="Times New Roman"/>
      <w:iCs/>
      <w:color w:val="000000"/>
      <w:sz w:val="18"/>
      <w:szCs w:val="24"/>
      <w:lang w:val="en-GB"/>
    </w:rPr>
  </w:style>
  <w:style w:type="paragraph" w:styleId="EndnoteText">
    <w:name w:val="endnote text"/>
    <w:basedOn w:val="Normal"/>
    <w:link w:val="EndnoteTextChar"/>
    <w:uiPriority w:val="99"/>
    <w:semiHidden/>
    <w:unhideWhenUsed/>
    <w:rsid w:val="000854E4"/>
    <w:pPr>
      <w:spacing w:after="0" w:line="240" w:lineRule="auto"/>
      <w:jc w:val="both"/>
    </w:pPr>
    <w:rPr>
      <w:rFonts w:ascii="Times New Roman" w:eastAsia="Calibri" w:hAnsi="Times New Roman" w:cs="Times New Roman"/>
      <w:color w:val="000000"/>
      <w:sz w:val="20"/>
      <w:szCs w:val="20"/>
      <w:lang w:val="en-GB"/>
    </w:rPr>
  </w:style>
  <w:style w:type="character" w:customStyle="1" w:styleId="EndnoteTextChar">
    <w:name w:val="Endnote Text Char"/>
    <w:basedOn w:val="DefaultParagraphFont"/>
    <w:link w:val="EndnoteText"/>
    <w:uiPriority w:val="99"/>
    <w:semiHidden/>
    <w:rsid w:val="000854E4"/>
    <w:rPr>
      <w:rFonts w:ascii="Times New Roman" w:eastAsia="Calibri" w:hAnsi="Times New Roman" w:cs="Times New Roman"/>
      <w:color w:val="000000"/>
      <w:sz w:val="20"/>
      <w:szCs w:val="20"/>
      <w:lang w:val="en-GB"/>
    </w:rPr>
  </w:style>
  <w:style w:type="paragraph" w:customStyle="1" w:styleId="Typedudocument">
    <w:name w:val="Type du document"/>
    <w:basedOn w:val="Normal"/>
    <w:next w:val="Normal"/>
    <w:rsid w:val="000854E4"/>
    <w:pPr>
      <w:spacing w:before="360" w:after="0" w:line="240" w:lineRule="auto"/>
      <w:jc w:val="center"/>
    </w:pPr>
    <w:rPr>
      <w:rFonts w:ascii="Times New Roman" w:eastAsia="Calibri" w:hAnsi="Times New Roman" w:cs="Times New Roman"/>
      <w:b/>
      <w:lang w:val="en-GB"/>
    </w:rPr>
  </w:style>
  <w:style w:type="paragraph" w:customStyle="1" w:styleId="Statut">
    <w:name w:val="Statut"/>
    <w:basedOn w:val="Normal"/>
    <w:next w:val="Typedudocument"/>
    <w:rsid w:val="000854E4"/>
    <w:pPr>
      <w:spacing w:before="360" w:after="0" w:line="240" w:lineRule="auto"/>
      <w:jc w:val="center"/>
    </w:pPr>
    <w:rPr>
      <w:rFonts w:ascii="Times New Roman" w:eastAsia="Calibri" w:hAnsi="Times New Roman" w:cs="Times New Roman"/>
      <w:lang w:val="en-GB"/>
    </w:rPr>
  </w:style>
  <w:style w:type="character" w:customStyle="1" w:styleId="journaltitle">
    <w:name w:val="journaltitle"/>
    <w:basedOn w:val="DefaultParagraphFont"/>
    <w:rsid w:val="000854E4"/>
  </w:style>
  <w:style w:type="character" w:customStyle="1" w:styleId="articlecitationvolume">
    <w:name w:val="articlecitation_volume"/>
    <w:basedOn w:val="DefaultParagraphFont"/>
    <w:rsid w:val="000854E4"/>
  </w:style>
  <w:style w:type="character" w:customStyle="1" w:styleId="articlecitationpages">
    <w:name w:val="articlecitation_pages"/>
    <w:basedOn w:val="DefaultParagraphFont"/>
    <w:rsid w:val="000854E4"/>
  </w:style>
  <w:style w:type="paragraph" w:customStyle="1" w:styleId="MDPI31text">
    <w:name w:val="MDPI_3.1_text"/>
    <w:qFormat/>
    <w:rsid w:val="000854E4"/>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styleId="HTMLPreformatted">
    <w:name w:val="HTML Preformatted"/>
    <w:basedOn w:val="Normal"/>
    <w:link w:val="HTMLPreformattedChar"/>
    <w:uiPriority w:val="99"/>
    <w:unhideWhenUsed/>
    <w:rsid w:val="00085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id-ID"/>
    </w:rPr>
  </w:style>
  <w:style w:type="character" w:customStyle="1" w:styleId="HTMLPreformattedChar">
    <w:name w:val="HTML Preformatted Char"/>
    <w:basedOn w:val="DefaultParagraphFont"/>
    <w:link w:val="HTMLPreformatted"/>
    <w:uiPriority w:val="99"/>
    <w:rsid w:val="000854E4"/>
    <w:rPr>
      <w:rFonts w:ascii="Courier New" w:eastAsia="Times New Roman" w:hAnsi="Courier New" w:cs="Courier New"/>
      <w:sz w:val="20"/>
      <w:szCs w:val="20"/>
      <w:lang w:val="en-GB" w:eastAsia="id-ID"/>
    </w:rPr>
  </w:style>
  <w:style w:type="character" w:customStyle="1" w:styleId="st">
    <w:name w:val="st"/>
    <w:basedOn w:val="DefaultParagraphFont"/>
    <w:rsid w:val="000854E4"/>
  </w:style>
  <w:style w:type="paragraph" w:styleId="BodyTextIndent">
    <w:name w:val="Body Text Indent"/>
    <w:basedOn w:val="Normal"/>
    <w:link w:val="BodyTextIndentChar"/>
    <w:rsid w:val="000854E4"/>
    <w:pPr>
      <w:spacing w:after="120" w:line="240" w:lineRule="auto"/>
      <w:ind w:left="36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0854E4"/>
    <w:rPr>
      <w:rFonts w:ascii="Times New Roman" w:eastAsia="Times New Roman" w:hAnsi="Times New Roman" w:cs="Times New Roman"/>
      <w:sz w:val="24"/>
      <w:szCs w:val="24"/>
      <w:lang w:val="en-GB"/>
    </w:rPr>
  </w:style>
  <w:style w:type="paragraph" w:styleId="ListContinue2">
    <w:name w:val="List Continue 2"/>
    <w:basedOn w:val="Normal"/>
    <w:rsid w:val="000854E4"/>
    <w:pPr>
      <w:spacing w:after="120" w:line="240" w:lineRule="auto"/>
      <w:ind w:left="720"/>
      <w:contextualSpacing/>
    </w:pPr>
    <w:rPr>
      <w:rFonts w:ascii="Times New Roman" w:eastAsia="Times New Roman" w:hAnsi="Times New Roman" w:cs="Times New Roman"/>
      <w:sz w:val="24"/>
      <w:szCs w:val="24"/>
      <w:lang w:val="en-GB"/>
    </w:rPr>
  </w:style>
  <w:style w:type="paragraph" w:styleId="BodyText2">
    <w:name w:val="Body Text 2"/>
    <w:basedOn w:val="Normal"/>
    <w:link w:val="BodyText2Char"/>
    <w:rsid w:val="000854E4"/>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0854E4"/>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0854E4"/>
    <w:pPr>
      <w:spacing w:after="120" w:line="24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0854E4"/>
    <w:rPr>
      <w:rFonts w:ascii="Times New Roman" w:eastAsia="Times New Roman" w:hAnsi="Times New Roman" w:cs="Times New Roman"/>
      <w:sz w:val="16"/>
      <w:szCs w:val="16"/>
      <w:lang w:val="en-GB"/>
    </w:rPr>
  </w:style>
  <w:style w:type="paragraph" w:customStyle="1" w:styleId="booktextindent">
    <w:name w:val="book text indent"/>
    <w:basedOn w:val="Normal"/>
    <w:rsid w:val="000854E4"/>
    <w:pPr>
      <w:spacing w:after="0" w:line="240" w:lineRule="auto"/>
    </w:pPr>
    <w:rPr>
      <w:rFonts w:ascii="Times New Roman" w:eastAsia="Times New Roman" w:hAnsi="Times New Roman" w:cs="Times New Roman"/>
      <w:sz w:val="24"/>
      <w:szCs w:val="24"/>
      <w:lang w:val="en-GB"/>
    </w:rPr>
  </w:style>
  <w:style w:type="character" w:customStyle="1" w:styleId="muitypography-root">
    <w:name w:val="muitypography-root"/>
    <w:basedOn w:val="DefaultParagraphFont"/>
    <w:rsid w:val="000854E4"/>
  </w:style>
  <w:style w:type="paragraph" w:customStyle="1" w:styleId="Keywords">
    <w:name w:val="Keywords"/>
    <w:basedOn w:val="Normal"/>
    <w:next w:val="Normal"/>
    <w:autoRedefine/>
    <w:qFormat/>
    <w:rsid w:val="000854E4"/>
    <w:pPr>
      <w:spacing w:after="170" w:line="240" w:lineRule="auto"/>
      <w:ind w:left="284" w:right="284"/>
      <w:jc w:val="both"/>
    </w:pPr>
    <w:rPr>
      <w:rFonts w:ascii="Times New Roman" w:eastAsia="Times New Roman" w:hAnsi="Times New Roman" w:cs="Times New Roman"/>
      <w:sz w:val="18"/>
      <w:szCs w:val="24"/>
      <w:lang w:val="en-GB" w:eastAsia="en-GB"/>
    </w:rPr>
  </w:style>
  <w:style w:type="paragraph" w:customStyle="1" w:styleId="MDPI62BackMatter">
    <w:name w:val="MDPI_6.2_BackMatter"/>
    <w:qFormat/>
    <w:rsid w:val="000854E4"/>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styleId="Revision">
    <w:name w:val="Revision"/>
    <w:hidden/>
    <w:uiPriority w:val="99"/>
    <w:semiHidden/>
    <w:rsid w:val="000854E4"/>
    <w:pPr>
      <w:spacing w:after="0" w:line="240" w:lineRule="auto"/>
    </w:pPr>
    <w:rPr>
      <w:rFonts w:ascii="Garamond" w:eastAsia="Calibri" w:hAnsi="Garamond" w:cs="Times New Roman"/>
      <w:lang w:val="uk-UA"/>
    </w:rPr>
  </w:style>
  <w:style w:type="character" w:customStyle="1" w:styleId="UnresolvedMention5">
    <w:name w:val="Unresolved Mention5"/>
    <w:basedOn w:val="DefaultParagraphFont"/>
    <w:uiPriority w:val="99"/>
    <w:semiHidden/>
    <w:unhideWhenUsed/>
    <w:rsid w:val="00323A06"/>
    <w:rPr>
      <w:color w:val="605E5C"/>
      <w:shd w:val="clear" w:color="auto" w:fill="E1DFDD"/>
    </w:rPr>
  </w:style>
  <w:style w:type="character" w:styleId="PlaceholderText">
    <w:name w:val="Placeholder Text"/>
    <w:basedOn w:val="DefaultParagraphFont"/>
    <w:uiPriority w:val="99"/>
    <w:semiHidden/>
    <w:rsid w:val="00141790"/>
    <w:rPr>
      <w:color w:val="808080"/>
    </w:rPr>
  </w:style>
  <w:style w:type="character" w:styleId="Strong">
    <w:name w:val="Strong"/>
    <w:uiPriority w:val="22"/>
    <w:qFormat/>
    <w:rsid w:val="00170559"/>
    <w:rPr>
      <w:b/>
      <w:bCs/>
    </w:rPr>
  </w:style>
  <w:style w:type="character" w:styleId="UnresolvedMention">
    <w:name w:val="Unresolved Mention"/>
    <w:basedOn w:val="DefaultParagraphFont"/>
    <w:uiPriority w:val="99"/>
    <w:semiHidden/>
    <w:unhideWhenUsed/>
    <w:rsid w:val="00F86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88475">
      <w:bodyDiv w:val="1"/>
      <w:marLeft w:val="0"/>
      <w:marRight w:val="0"/>
      <w:marTop w:val="0"/>
      <w:marBottom w:val="0"/>
      <w:divBdr>
        <w:top w:val="none" w:sz="0" w:space="0" w:color="auto"/>
        <w:left w:val="none" w:sz="0" w:space="0" w:color="auto"/>
        <w:bottom w:val="none" w:sz="0" w:space="0" w:color="auto"/>
        <w:right w:val="none" w:sz="0" w:space="0" w:color="auto"/>
      </w:divBdr>
    </w:div>
    <w:div w:id="154499607">
      <w:bodyDiv w:val="1"/>
      <w:marLeft w:val="0"/>
      <w:marRight w:val="0"/>
      <w:marTop w:val="0"/>
      <w:marBottom w:val="0"/>
      <w:divBdr>
        <w:top w:val="none" w:sz="0" w:space="0" w:color="auto"/>
        <w:left w:val="none" w:sz="0" w:space="0" w:color="auto"/>
        <w:bottom w:val="none" w:sz="0" w:space="0" w:color="auto"/>
        <w:right w:val="none" w:sz="0" w:space="0" w:color="auto"/>
      </w:divBdr>
    </w:div>
    <w:div w:id="351301582">
      <w:bodyDiv w:val="1"/>
      <w:marLeft w:val="0"/>
      <w:marRight w:val="0"/>
      <w:marTop w:val="0"/>
      <w:marBottom w:val="0"/>
      <w:divBdr>
        <w:top w:val="none" w:sz="0" w:space="0" w:color="auto"/>
        <w:left w:val="none" w:sz="0" w:space="0" w:color="auto"/>
        <w:bottom w:val="none" w:sz="0" w:space="0" w:color="auto"/>
        <w:right w:val="none" w:sz="0" w:space="0" w:color="auto"/>
      </w:divBdr>
    </w:div>
    <w:div w:id="463238452">
      <w:bodyDiv w:val="1"/>
      <w:marLeft w:val="0"/>
      <w:marRight w:val="0"/>
      <w:marTop w:val="0"/>
      <w:marBottom w:val="0"/>
      <w:divBdr>
        <w:top w:val="none" w:sz="0" w:space="0" w:color="auto"/>
        <w:left w:val="none" w:sz="0" w:space="0" w:color="auto"/>
        <w:bottom w:val="none" w:sz="0" w:space="0" w:color="auto"/>
        <w:right w:val="none" w:sz="0" w:space="0" w:color="auto"/>
      </w:divBdr>
      <w:divsChild>
        <w:div w:id="459961853">
          <w:marLeft w:val="0"/>
          <w:marRight w:val="0"/>
          <w:marTop w:val="0"/>
          <w:marBottom w:val="0"/>
          <w:divBdr>
            <w:top w:val="none" w:sz="0" w:space="0" w:color="auto"/>
            <w:left w:val="none" w:sz="0" w:space="0" w:color="auto"/>
            <w:bottom w:val="none" w:sz="0" w:space="0" w:color="auto"/>
            <w:right w:val="none" w:sz="0" w:space="0" w:color="auto"/>
          </w:divBdr>
        </w:div>
        <w:div w:id="1019816316">
          <w:marLeft w:val="0"/>
          <w:marRight w:val="0"/>
          <w:marTop w:val="0"/>
          <w:marBottom w:val="0"/>
          <w:divBdr>
            <w:top w:val="none" w:sz="0" w:space="0" w:color="auto"/>
            <w:left w:val="none" w:sz="0" w:space="0" w:color="auto"/>
            <w:bottom w:val="none" w:sz="0" w:space="0" w:color="auto"/>
            <w:right w:val="none" w:sz="0" w:space="0" w:color="auto"/>
          </w:divBdr>
        </w:div>
        <w:div w:id="1986741985">
          <w:marLeft w:val="0"/>
          <w:marRight w:val="0"/>
          <w:marTop w:val="0"/>
          <w:marBottom w:val="0"/>
          <w:divBdr>
            <w:top w:val="none" w:sz="0" w:space="0" w:color="auto"/>
            <w:left w:val="none" w:sz="0" w:space="0" w:color="auto"/>
            <w:bottom w:val="none" w:sz="0" w:space="0" w:color="auto"/>
            <w:right w:val="none" w:sz="0" w:space="0" w:color="auto"/>
          </w:divBdr>
        </w:div>
        <w:div w:id="2137219105">
          <w:marLeft w:val="0"/>
          <w:marRight w:val="0"/>
          <w:marTop w:val="0"/>
          <w:marBottom w:val="0"/>
          <w:divBdr>
            <w:top w:val="none" w:sz="0" w:space="0" w:color="auto"/>
            <w:left w:val="none" w:sz="0" w:space="0" w:color="auto"/>
            <w:bottom w:val="none" w:sz="0" w:space="0" w:color="auto"/>
            <w:right w:val="none" w:sz="0" w:space="0" w:color="auto"/>
          </w:divBdr>
        </w:div>
      </w:divsChild>
    </w:div>
    <w:div w:id="494343669">
      <w:bodyDiv w:val="1"/>
      <w:marLeft w:val="0"/>
      <w:marRight w:val="0"/>
      <w:marTop w:val="0"/>
      <w:marBottom w:val="0"/>
      <w:divBdr>
        <w:top w:val="none" w:sz="0" w:space="0" w:color="auto"/>
        <w:left w:val="none" w:sz="0" w:space="0" w:color="auto"/>
        <w:bottom w:val="none" w:sz="0" w:space="0" w:color="auto"/>
        <w:right w:val="none" w:sz="0" w:space="0" w:color="auto"/>
      </w:divBdr>
    </w:div>
    <w:div w:id="494956933">
      <w:bodyDiv w:val="1"/>
      <w:marLeft w:val="0"/>
      <w:marRight w:val="0"/>
      <w:marTop w:val="0"/>
      <w:marBottom w:val="0"/>
      <w:divBdr>
        <w:top w:val="none" w:sz="0" w:space="0" w:color="auto"/>
        <w:left w:val="none" w:sz="0" w:space="0" w:color="auto"/>
        <w:bottom w:val="none" w:sz="0" w:space="0" w:color="auto"/>
        <w:right w:val="none" w:sz="0" w:space="0" w:color="auto"/>
      </w:divBdr>
    </w:div>
    <w:div w:id="555046875">
      <w:bodyDiv w:val="1"/>
      <w:marLeft w:val="0"/>
      <w:marRight w:val="0"/>
      <w:marTop w:val="0"/>
      <w:marBottom w:val="0"/>
      <w:divBdr>
        <w:top w:val="none" w:sz="0" w:space="0" w:color="auto"/>
        <w:left w:val="none" w:sz="0" w:space="0" w:color="auto"/>
        <w:bottom w:val="none" w:sz="0" w:space="0" w:color="auto"/>
        <w:right w:val="none" w:sz="0" w:space="0" w:color="auto"/>
      </w:divBdr>
    </w:div>
    <w:div w:id="663892889">
      <w:bodyDiv w:val="1"/>
      <w:marLeft w:val="0"/>
      <w:marRight w:val="0"/>
      <w:marTop w:val="0"/>
      <w:marBottom w:val="0"/>
      <w:divBdr>
        <w:top w:val="none" w:sz="0" w:space="0" w:color="auto"/>
        <w:left w:val="none" w:sz="0" w:space="0" w:color="auto"/>
        <w:bottom w:val="none" w:sz="0" w:space="0" w:color="auto"/>
        <w:right w:val="none" w:sz="0" w:space="0" w:color="auto"/>
      </w:divBdr>
    </w:div>
    <w:div w:id="845442622">
      <w:bodyDiv w:val="1"/>
      <w:marLeft w:val="0"/>
      <w:marRight w:val="0"/>
      <w:marTop w:val="0"/>
      <w:marBottom w:val="0"/>
      <w:divBdr>
        <w:top w:val="none" w:sz="0" w:space="0" w:color="auto"/>
        <w:left w:val="none" w:sz="0" w:space="0" w:color="auto"/>
        <w:bottom w:val="none" w:sz="0" w:space="0" w:color="auto"/>
        <w:right w:val="none" w:sz="0" w:space="0" w:color="auto"/>
      </w:divBdr>
    </w:div>
    <w:div w:id="1068922470">
      <w:bodyDiv w:val="1"/>
      <w:marLeft w:val="0"/>
      <w:marRight w:val="0"/>
      <w:marTop w:val="0"/>
      <w:marBottom w:val="0"/>
      <w:divBdr>
        <w:top w:val="none" w:sz="0" w:space="0" w:color="auto"/>
        <w:left w:val="none" w:sz="0" w:space="0" w:color="auto"/>
        <w:bottom w:val="none" w:sz="0" w:space="0" w:color="auto"/>
        <w:right w:val="none" w:sz="0" w:space="0" w:color="auto"/>
      </w:divBdr>
      <w:divsChild>
        <w:div w:id="846486065">
          <w:marLeft w:val="0"/>
          <w:marRight w:val="0"/>
          <w:marTop w:val="100"/>
          <w:marBottom w:val="100"/>
          <w:divBdr>
            <w:top w:val="none" w:sz="0" w:space="0" w:color="auto"/>
            <w:left w:val="none" w:sz="0" w:space="0" w:color="auto"/>
            <w:bottom w:val="none" w:sz="0" w:space="0" w:color="auto"/>
            <w:right w:val="none" w:sz="0" w:space="0" w:color="auto"/>
          </w:divBdr>
          <w:divsChild>
            <w:div w:id="107377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967190">
      <w:bodyDiv w:val="1"/>
      <w:marLeft w:val="0"/>
      <w:marRight w:val="0"/>
      <w:marTop w:val="0"/>
      <w:marBottom w:val="0"/>
      <w:divBdr>
        <w:top w:val="none" w:sz="0" w:space="0" w:color="auto"/>
        <w:left w:val="none" w:sz="0" w:space="0" w:color="auto"/>
        <w:bottom w:val="none" w:sz="0" w:space="0" w:color="auto"/>
        <w:right w:val="none" w:sz="0" w:space="0" w:color="auto"/>
      </w:divBdr>
    </w:div>
    <w:div w:id="1323313229">
      <w:bodyDiv w:val="1"/>
      <w:marLeft w:val="0"/>
      <w:marRight w:val="0"/>
      <w:marTop w:val="0"/>
      <w:marBottom w:val="0"/>
      <w:divBdr>
        <w:top w:val="none" w:sz="0" w:space="0" w:color="auto"/>
        <w:left w:val="none" w:sz="0" w:space="0" w:color="auto"/>
        <w:bottom w:val="none" w:sz="0" w:space="0" w:color="auto"/>
        <w:right w:val="none" w:sz="0" w:space="0" w:color="auto"/>
      </w:divBdr>
    </w:div>
    <w:div w:id="1426921827">
      <w:bodyDiv w:val="1"/>
      <w:marLeft w:val="0"/>
      <w:marRight w:val="0"/>
      <w:marTop w:val="0"/>
      <w:marBottom w:val="0"/>
      <w:divBdr>
        <w:top w:val="none" w:sz="0" w:space="0" w:color="auto"/>
        <w:left w:val="none" w:sz="0" w:space="0" w:color="auto"/>
        <w:bottom w:val="none" w:sz="0" w:space="0" w:color="auto"/>
        <w:right w:val="none" w:sz="0" w:space="0" w:color="auto"/>
      </w:divBdr>
    </w:div>
    <w:div w:id="1472357176">
      <w:bodyDiv w:val="1"/>
      <w:marLeft w:val="0"/>
      <w:marRight w:val="0"/>
      <w:marTop w:val="0"/>
      <w:marBottom w:val="0"/>
      <w:divBdr>
        <w:top w:val="none" w:sz="0" w:space="0" w:color="auto"/>
        <w:left w:val="none" w:sz="0" w:space="0" w:color="auto"/>
        <w:bottom w:val="none" w:sz="0" w:space="0" w:color="auto"/>
        <w:right w:val="none" w:sz="0" w:space="0" w:color="auto"/>
      </w:divBdr>
    </w:div>
    <w:div w:id="1641764237">
      <w:bodyDiv w:val="1"/>
      <w:marLeft w:val="0"/>
      <w:marRight w:val="0"/>
      <w:marTop w:val="0"/>
      <w:marBottom w:val="0"/>
      <w:divBdr>
        <w:top w:val="none" w:sz="0" w:space="0" w:color="auto"/>
        <w:left w:val="none" w:sz="0" w:space="0" w:color="auto"/>
        <w:bottom w:val="none" w:sz="0" w:space="0" w:color="auto"/>
        <w:right w:val="none" w:sz="0" w:space="0" w:color="auto"/>
      </w:divBdr>
    </w:div>
    <w:div w:id="1689940639">
      <w:bodyDiv w:val="1"/>
      <w:marLeft w:val="0"/>
      <w:marRight w:val="0"/>
      <w:marTop w:val="0"/>
      <w:marBottom w:val="0"/>
      <w:divBdr>
        <w:top w:val="none" w:sz="0" w:space="0" w:color="auto"/>
        <w:left w:val="none" w:sz="0" w:space="0" w:color="auto"/>
        <w:bottom w:val="none" w:sz="0" w:space="0" w:color="auto"/>
        <w:right w:val="none" w:sz="0" w:space="0" w:color="auto"/>
      </w:divBdr>
    </w:div>
    <w:div w:id="1864324398">
      <w:bodyDiv w:val="1"/>
      <w:marLeft w:val="0"/>
      <w:marRight w:val="0"/>
      <w:marTop w:val="0"/>
      <w:marBottom w:val="0"/>
      <w:divBdr>
        <w:top w:val="none" w:sz="0" w:space="0" w:color="auto"/>
        <w:left w:val="none" w:sz="0" w:space="0" w:color="auto"/>
        <w:bottom w:val="none" w:sz="0" w:space="0" w:color="auto"/>
        <w:right w:val="none" w:sz="0" w:space="0" w:color="auto"/>
      </w:divBdr>
    </w:div>
    <w:div w:id="1907377452">
      <w:bodyDiv w:val="1"/>
      <w:marLeft w:val="0"/>
      <w:marRight w:val="0"/>
      <w:marTop w:val="0"/>
      <w:marBottom w:val="0"/>
      <w:divBdr>
        <w:top w:val="none" w:sz="0" w:space="0" w:color="auto"/>
        <w:left w:val="none" w:sz="0" w:space="0" w:color="auto"/>
        <w:bottom w:val="none" w:sz="0" w:space="0" w:color="auto"/>
        <w:right w:val="none" w:sz="0" w:space="0" w:color="auto"/>
      </w:divBdr>
    </w:div>
    <w:div w:id="196014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marpolbul.2016.12.057" TargetMode="External"/><Relationship Id="rId13" Type="http://schemas.openxmlformats.org/officeDocument/2006/relationships/oleObject" Target="embeddings/oleObject2.bin"/><Relationship Id="rId18" Type="http://schemas.openxmlformats.org/officeDocument/2006/relationships/hyperlink" Target="https://orcid.org/0000-0003-1333-5478" TargetMode="Externa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hyperlink" Target="mailto:cepjandianwar@untirta.ac.id"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6.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orcid.org/0000-0002-2806-401X" TargetMode="External"/><Relationship Id="rId20" Type="http://schemas.openxmlformats.org/officeDocument/2006/relationships/hyperlink" Target="https://orcid.org/0000-0001-6226-525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jirss.com" TargetMode="External"/><Relationship Id="rId24" Type="http://schemas.openxmlformats.org/officeDocument/2006/relationships/oleObject" Target="embeddings/oleObject3.bin"/><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oleObject" Target="embeddings/oleObject5.bin"/><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s://orcid.org/0000-0003-0666-6762"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0003-0055-7477" TargetMode="External"/><Relationship Id="rId22" Type="http://schemas.openxmlformats.org/officeDocument/2006/relationships/hyperlink" Target="https://creativecommons.org/licenses/by/4.0/" TargetMode="External"/><Relationship Id="rId27" Type="http://schemas.openxmlformats.org/officeDocument/2006/relationships/image" Target="media/image7.png"/><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sha05</b:Tag>
    <b:SourceType>JournalArticle</b:SourceType>
    <b:Guid>{8968A3E9-B434-43FF-BFDC-B68BF59D120A}</b:Guid>
    <b:Title>engineering and managing software requirements</b:Title>
    <b:Year>2005</b:Year>
    <b:JournalName>springer</b:JournalName>
    <b:Pages>10-20</b:Pages>
    <b:Author>
      <b:Author>
        <b:NameList>
          <b:Person>
            <b:Last>shahidi</b:Last>
            <b:First>shahwali</b:First>
          </b:Person>
          <b:Person>
            <b:Last>nazari</b:Last>
            <b:First>dawod</b:First>
          </b:Person>
          <b:Person>
            <b:Last>daryabi</b:Last>
            <b:First>yasin</b:First>
          </b:Person>
        </b:NameList>
      </b:Author>
    </b:Author>
    <b:RefOrder>1</b:RefOrder>
  </b:Source>
</b:Sources>
</file>

<file path=customXml/itemProps1.xml><?xml version="1.0" encoding="utf-8"?>
<ds:datastoreItem xmlns:ds="http://schemas.openxmlformats.org/officeDocument/2006/customXml" ds:itemID="{CA3A9DFD-2114-4B2C-B7EE-1B9D611FD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Pages>
  <Words>17045</Words>
  <Characters>97160</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Academic Format</cp:lastModifiedBy>
  <cp:revision>51</cp:revision>
  <cp:lastPrinted>2022-10-29T08:55:00Z</cp:lastPrinted>
  <dcterms:created xsi:type="dcterms:W3CDTF">2022-10-24T19:56:00Z</dcterms:created>
  <dcterms:modified xsi:type="dcterms:W3CDTF">2022-12-05T05:37:00Z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http://csl.mendeley.com/styles/504048001/IJIRSSjournalCitation</vt:lpwstr>
  </property>
  <property fmtid="{D5CDD505-2E9C-101B-9397-08002B2CF9AE}" pid="15" name="Mendeley Recent Style Name 6_1">
    <vt:lpwstr>E-journal IJIRSS</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